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6D" w:rsidRPr="00417A75" w:rsidRDefault="00B5306D" w:rsidP="00417A75">
      <w:pPr>
        <w:contextualSpacing/>
        <w:jc w:val="center"/>
        <w:rPr>
          <w:rFonts w:ascii="Calibri" w:hAnsi="Calibri" w:cstheme="minorHAnsi"/>
          <w:b/>
          <w:sz w:val="24"/>
          <w:szCs w:val="24"/>
        </w:rPr>
      </w:pPr>
      <w:r w:rsidRPr="00417A75">
        <w:rPr>
          <w:rFonts w:ascii="Calibri" w:hAnsi="Calibri" w:cstheme="minorHAnsi"/>
          <w:b/>
          <w:sz w:val="24"/>
          <w:szCs w:val="24"/>
        </w:rPr>
        <w:t>PCR and DNA Sequencing</w:t>
      </w:r>
    </w:p>
    <w:p w:rsidR="004B53EF" w:rsidRPr="001B0027" w:rsidRDefault="00B5306D" w:rsidP="004B53EF">
      <w:pPr>
        <w:contextualSpacing/>
        <w:rPr>
          <w:rFonts w:ascii="Calibri" w:hAnsi="Calibri" w:cs="Courier New"/>
        </w:rPr>
      </w:pPr>
      <w:r w:rsidRPr="001B0027">
        <w:rPr>
          <w:rFonts w:ascii="Calibri" w:hAnsi="Calibri" w:cs="Courier New"/>
        </w:rPr>
        <w:t>Polymerase Chain Reaction (PCR) is a process that</w:t>
      </w:r>
      <w:r w:rsidRPr="001B0027">
        <w:rPr>
          <w:rFonts w:ascii="Calibri" w:hAnsi="Calibri" w:cs="Courier New"/>
          <w:noProof/>
        </w:rPr>
        <w:t xml:space="preserve"> </w:t>
      </w:r>
      <w:r w:rsidRPr="001B0027">
        <w:rPr>
          <w:rFonts w:ascii="Calibri" w:hAnsi="Calibri" w:cs="Courier New"/>
        </w:rPr>
        <w:t>can be used to amplify</w:t>
      </w:r>
      <w:r w:rsidR="009556F7" w:rsidRPr="001B0027">
        <w:rPr>
          <w:rFonts w:ascii="Calibri" w:hAnsi="Calibri" w:cs="Courier New"/>
        </w:rPr>
        <w:t xml:space="preserve"> </w:t>
      </w:r>
      <w:r w:rsidRPr="001B0027">
        <w:rPr>
          <w:rFonts w:ascii="Calibri" w:hAnsi="Calibri" w:cs="Courier New"/>
        </w:rPr>
        <w:t xml:space="preserve">the number of copies of a target fragment of DNA.  </w:t>
      </w:r>
    </w:p>
    <w:p w:rsidR="00142758" w:rsidRPr="001B0027" w:rsidRDefault="00B5306D" w:rsidP="001B0027">
      <w:pPr>
        <w:pStyle w:val="ListParagraph"/>
        <w:numPr>
          <w:ilvl w:val="0"/>
          <w:numId w:val="9"/>
        </w:numPr>
        <w:rPr>
          <w:rFonts w:ascii="Calibri" w:hAnsi="Calibri" w:cs="Courier New"/>
          <w:sz w:val="22"/>
          <w:szCs w:val="22"/>
        </w:rPr>
      </w:pPr>
      <w:r w:rsidRPr="001B0027">
        <w:rPr>
          <w:rFonts w:ascii="Calibri" w:hAnsi="Calibri" w:cs="Courier New"/>
          <w:sz w:val="22"/>
          <w:szCs w:val="22"/>
        </w:rPr>
        <w:t xml:space="preserve">First, the DNA is heated, which causes the two strands to denature (come apart).  </w:t>
      </w:r>
    </w:p>
    <w:p w:rsidR="001B0027" w:rsidRPr="00D0675D" w:rsidRDefault="009556F7" w:rsidP="001B0027">
      <w:pPr>
        <w:pStyle w:val="ListParagraph"/>
        <w:numPr>
          <w:ilvl w:val="0"/>
          <w:numId w:val="9"/>
        </w:numPr>
        <w:rPr>
          <w:rFonts w:ascii="Calibri" w:hAnsi="Calibri" w:cs="Courier New"/>
          <w:sz w:val="22"/>
          <w:szCs w:val="22"/>
        </w:rPr>
      </w:pPr>
      <w:r w:rsidRPr="001B0027">
        <w:rPr>
          <w:rFonts w:ascii="Calibri" w:hAnsi="Calibri" w:cs="Courier New"/>
          <w:sz w:val="22"/>
          <w:szCs w:val="22"/>
        </w:rPr>
        <w:t>P</w:t>
      </w:r>
      <w:r w:rsidR="00B5306D" w:rsidRPr="001B0027">
        <w:rPr>
          <w:rFonts w:ascii="Calibri" w:hAnsi="Calibri" w:cs="Courier New"/>
          <w:sz w:val="22"/>
          <w:szCs w:val="22"/>
        </w:rPr>
        <w:t>rimers are then added</w:t>
      </w:r>
      <w:r w:rsidRPr="001B0027">
        <w:rPr>
          <w:rFonts w:ascii="Calibri" w:hAnsi="Calibri" w:cs="Courier New"/>
          <w:sz w:val="22"/>
          <w:szCs w:val="22"/>
        </w:rPr>
        <w:t>,</w:t>
      </w:r>
      <w:r w:rsidR="00B5306D" w:rsidRPr="001B0027">
        <w:rPr>
          <w:rFonts w:ascii="Calibri" w:hAnsi="Calibri" w:cs="Courier New"/>
          <w:sz w:val="22"/>
          <w:szCs w:val="22"/>
        </w:rPr>
        <w:t xml:space="preserve"> </w:t>
      </w:r>
      <w:r w:rsidRPr="001B0027">
        <w:rPr>
          <w:rFonts w:ascii="Calibri" w:hAnsi="Calibri" w:cs="Courier New"/>
          <w:sz w:val="22"/>
          <w:szCs w:val="22"/>
        </w:rPr>
        <w:t>and</w:t>
      </w:r>
      <w:r w:rsidR="00B5306D" w:rsidRPr="001B0027">
        <w:rPr>
          <w:rFonts w:ascii="Calibri" w:hAnsi="Calibri" w:cs="Courier New"/>
          <w:sz w:val="22"/>
          <w:szCs w:val="22"/>
        </w:rPr>
        <w:t xml:space="preserve"> they form a type of bracket around the region of DNA that is to be amplified</w:t>
      </w:r>
      <w:r w:rsidRPr="001B0027">
        <w:rPr>
          <w:rFonts w:ascii="Calibri" w:hAnsi="Calibri" w:cs="Courier New"/>
          <w:sz w:val="22"/>
          <w:szCs w:val="22"/>
        </w:rPr>
        <w:t>.</w:t>
      </w:r>
      <w:r w:rsidR="001B0027">
        <w:rPr>
          <w:rFonts w:ascii="Calibri" w:hAnsi="Calibri" w:cs="Courier New"/>
          <w:sz w:val="22"/>
          <w:szCs w:val="22"/>
        </w:rPr>
        <w:t xml:space="preserve">  The primers </w:t>
      </w:r>
      <w:r w:rsidR="00D0675D">
        <w:rPr>
          <w:rFonts w:ascii="Calibri" w:hAnsi="Calibri" w:cs="Courier New"/>
          <w:sz w:val="22"/>
          <w:szCs w:val="22"/>
        </w:rPr>
        <w:t xml:space="preserve">in Table 1 </w:t>
      </w:r>
      <w:r w:rsidR="001B0027">
        <w:rPr>
          <w:rFonts w:ascii="Calibri" w:hAnsi="Calibri" w:cs="Courier New"/>
          <w:sz w:val="22"/>
          <w:szCs w:val="22"/>
        </w:rPr>
        <w:t xml:space="preserve">were used in </w:t>
      </w:r>
      <w:r w:rsidR="005B7AFD">
        <w:rPr>
          <w:rFonts w:ascii="Calibri" w:hAnsi="Calibri" w:cs="Courier New"/>
          <w:sz w:val="22"/>
          <w:szCs w:val="22"/>
        </w:rPr>
        <w:t>the</w:t>
      </w:r>
      <w:r w:rsidR="001B0027">
        <w:rPr>
          <w:rFonts w:ascii="Calibri" w:hAnsi="Calibri" w:cs="Courier New"/>
          <w:sz w:val="22"/>
          <w:szCs w:val="22"/>
        </w:rPr>
        <w:t xml:space="preserve"> study on recurrent </w:t>
      </w:r>
      <w:r w:rsidR="001B0027" w:rsidRPr="001B0027">
        <w:rPr>
          <w:rFonts w:ascii="Calibri" w:hAnsi="Calibri" w:cs="Courier New"/>
          <w:i/>
          <w:sz w:val="22"/>
          <w:szCs w:val="22"/>
        </w:rPr>
        <w:t>C. difficile</w:t>
      </w:r>
      <w:r w:rsidR="001B0027">
        <w:rPr>
          <w:rFonts w:ascii="Calibri" w:hAnsi="Calibri" w:cs="Courier New"/>
          <w:sz w:val="22"/>
          <w:szCs w:val="22"/>
        </w:rPr>
        <w:t xml:space="preserve"> infections</w:t>
      </w:r>
      <w:r w:rsidR="005B7AFD">
        <w:rPr>
          <w:rFonts w:ascii="Calibri" w:hAnsi="Calibri" w:cs="Courier New"/>
          <w:sz w:val="22"/>
          <w:szCs w:val="22"/>
        </w:rPr>
        <w:t xml:space="preserve"> (Louie at al. 2012)</w:t>
      </w:r>
      <w:r w:rsidR="001B0027">
        <w:rPr>
          <w:rFonts w:ascii="Calibri" w:hAnsi="Calibri" w:cs="Courier New"/>
          <w:sz w:val="22"/>
          <w:szCs w:val="22"/>
        </w:rPr>
        <w:t>.</w:t>
      </w:r>
    </w:p>
    <w:p w:rsidR="0049112B" w:rsidRDefault="00B5306D" w:rsidP="0049112B">
      <w:pPr>
        <w:pStyle w:val="ListParagraph"/>
        <w:numPr>
          <w:ilvl w:val="0"/>
          <w:numId w:val="9"/>
        </w:numPr>
        <w:rPr>
          <w:rFonts w:ascii="Calibri" w:hAnsi="Calibri" w:cs="Courier New"/>
          <w:sz w:val="22"/>
          <w:szCs w:val="22"/>
        </w:rPr>
      </w:pPr>
      <w:r w:rsidRPr="001B0027">
        <w:rPr>
          <w:rFonts w:ascii="Calibri" w:hAnsi="Calibri" w:cs="Courier New"/>
          <w:sz w:val="22"/>
          <w:szCs w:val="22"/>
        </w:rPr>
        <w:t xml:space="preserve">A polymerase, which synthesizes DNA, is added so that a new DNA strand can be created.  This process (shown in Figure 1) is repeated as many times as needed to get the amount of DNA that is necessary for further experimentation. </w:t>
      </w:r>
    </w:p>
    <w:p w:rsidR="00B5306D" w:rsidRDefault="00B5306D" w:rsidP="0049112B">
      <w:pPr>
        <w:pStyle w:val="ListParagraph"/>
        <w:rPr>
          <w:rFonts w:ascii="Calibri" w:hAnsi="Calibri" w:cs="Courier New"/>
          <w:sz w:val="22"/>
          <w:szCs w:val="22"/>
        </w:rPr>
      </w:pPr>
    </w:p>
    <w:tbl>
      <w:tblPr>
        <w:tblStyle w:val="TableGrid"/>
        <w:tblW w:w="147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0"/>
        <w:gridCol w:w="3880"/>
      </w:tblGrid>
      <w:tr w:rsidR="00A23429" w:rsidTr="00A23429">
        <w:tc>
          <w:tcPr>
            <w:tcW w:w="10890" w:type="dxa"/>
          </w:tcPr>
          <w:p w:rsidR="00A23429" w:rsidRDefault="00A23429" w:rsidP="00A23429">
            <w:pPr>
              <w:rPr>
                <w:sz w:val="20"/>
              </w:rPr>
            </w:pPr>
            <w:r>
              <w:rPr>
                <w:rFonts w:ascii="Calibri" w:hAnsi="Calibri" w:cs="Courier New"/>
                <w:noProof/>
              </w:rPr>
              <w:drawing>
                <wp:inline distT="0" distB="0" distL="0" distR="0" wp14:anchorId="6CDB104A" wp14:editId="2B0CDACC">
                  <wp:extent cx="6837680" cy="418909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7680" cy="4189095"/>
                          </a:xfrm>
                          <a:prstGeom prst="rect">
                            <a:avLst/>
                          </a:prstGeom>
                          <a:noFill/>
                          <a:ln>
                            <a:noFill/>
                          </a:ln>
                        </pic:spPr>
                      </pic:pic>
                    </a:graphicData>
                  </a:graphic>
                </wp:inline>
              </w:drawing>
            </w:r>
          </w:p>
          <w:p w:rsidR="00A23429" w:rsidRDefault="002B40E6" w:rsidP="00A23429">
            <w:pPr>
              <w:rPr>
                <w:rFonts w:ascii="Calibri" w:hAnsi="Calibri" w:cs="Courier New"/>
                <w:sz w:val="22"/>
                <w:szCs w:val="22"/>
              </w:rPr>
            </w:pPr>
            <w:r>
              <w:rPr>
                <w:sz w:val="20"/>
              </w:rPr>
              <w:t xml:space="preserve">  </w:t>
            </w:r>
            <w:r w:rsidR="00A23429" w:rsidRPr="00A61DE0">
              <w:rPr>
                <w:sz w:val="20"/>
              </w:rPr>
              <w:t>Table taken from Louie et al., 2012</w:t>
            </w:r>
          </w:p>
        </w:tc>
        <w:tc>
          <w:tcPr>
            <w:tcW w:w="3880" w:type="dxa"/>
            <w:vAlign w:val="center"/>
          </w:tcPr>
          <w:p w:rsidR="00A23429" w:rsidRDefault="00A23429" w:rsidP="00A23429">
            <w:pPr>
              <w:pStyle w:val="Caption"/>
              <w:jc w:val="center"/>
              <w:rPr>
                <w:rFonts w:ascii="Calibri" w:hAnsi="Calibri"/>
                <w:color w:val="auto"/>
                <w:sz w:val="22"/>
                <w:szCs w:val="22"/>
              </w:rPr>
            </w:pPr>
            <w:r>
              <w:rPr>
                <w:noProof/>
              </w:rPr>
              <w:drawing>
                <wp:inline distT="0" distB="0" distL="0" distR="0" wp14:anchorId="27329DF3" wp14:editId="5BE244F3">
                  <wp:extent cx="2267044" cy="3200400"/>
                  <wp:effectExtent l="0" t="0" r="0" b="0"/>
                  <wp:docPr id="11" name="Picture 11" descr="http://www.flmnh.ufl.edu/cowries/P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lmnh.ufl.edu/cowries/PC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636" cy="3199823"/>
                          </a:xfrm>
                          <a:prstGeom prst="rect">
                            <a:avLst/>
                          </a:prstGeom>
                          <a:noFill/>
                          <a:ln>
                            <a:noFill/>
                          </a:ln>
                        </pic:spPr>
                      </pic:pic>
                    </a:graphicData>
                  </a:graphic>
                </wp:inline>
              </w:drawing>
            </w:r>
          </w:p>
          <w:p w:rsidR="00A23429" w:rsidRPr="00A23429" w:rsidRDefault="00A23429" w:rsidP="00A23429">
            <w:pPr>
              <w:pStyle w:val="Caption"/>
              <w:jc w:val="center"/>
              <w:rPr>
                <w:rFonts w:ascii="Calibri" w:hAnsi="Calibri"/>
                <w:color w:val="auto"/>
                <w:sz w:val="22"/>
                <w:szCs w:val="22"/>
              </w:rPr>
            </w:pPr>
            <w:r w:rsidRPr="00A23429">
              <w:rPr>
                <w:rFonts w:ascii="Calibri" w:hAnsi="Calibri"/>
                <w:color w:val="auto"/>
                <w:sz w:val="22"/>
                <w:szCs w:val="22"/>
              </w:rPr>
              <w:t>Figure 1: Steps in PCR</w:t>
            </w:r>
          </w:p>
          <w:p w:rsidR="00A23429" w:rsidRPr="00A23429" w:rsidRDefault="00A23429" w:rsidP="00A23429">
            <w:pPr>
              <w:jc w:val="center"/>
              <w:rPr>
                <w:sz w:val="22"/>
                <w:szCs w:val="22"/>
              </w:rPr>
            </w:pPr>
            <w:r w:rsidRPr="00A23429">
              <w:rPr>
                <w:sz w:val="22"/>
                <w:szCs w:val="22"/>
              </w:rPr>
              <w:t xml:space="preserve">Source: </w:t>
            </w:r>
            <w:r w:rsidRPr="00A23429">
              <w:rPr>
                <w:rFonts w:ascii="Calibri" w:hAnsi="Calibri" w:cs="Courier New"/>
                <w:sz w:val="22"/>
                <w:szCs w:val="22"/>
              </w:rPr>
              <w:t>Cowrie Genetic Database Project, 2005</w:t>
            </w:r>
          </w:p>
          <w:p w:rsidR="00A23429" w:rsidRDefault="00A23429" w:rsidP="00A23429">
            <w:pPr>
              <w:pStyle w:val="ListParagraph"/>
              <w:ind w:left="0"/>
              <w:jc w:val="center"/>
              <w:rPr>
                <w:rFonts w:ascii="Calibri" w:hAnsi="Calibri" w:cs="Courier New"/>
                <w:sz w:val="22"/>
                <w:szCs w:val="22"/>
              </w:rPr>
            </w:pPr>
          </w:p>
        </w:tc>
      </w:tr>
    </w:tbl>
    <w:p w:rsidR="004B53EF" w:rsidRPr="001B0027" w:rsidRDefault="00815009" w:rsidP="004B53EF">
      <w:pPr>
        <w:contextualSpacing/>
        <w:rPr>
          <w:rFonts w:ascii="Calibri" w:hAnsi="Calibri" w:cs="Courier New"/>
        </w:rPr>
      </w:pPr>
      <w:r w:rsidRPr="001B0027">
        <w:rPr>
          <w:rFonts w:ascii="Calibri" w:hAnsi="Calibri" w:cs="Courier New"/>
        </w:rPr>
        <w:lastRenderedPageBreak/>
        <w:t>One method</w:t>
      </w:r>
      <w:r w:rsidR="00B5306D" w:rsidRPr="001B0027">
        <w:rPr>
          <w:rFonts w:ascii="Calibri" w:hAnsi="Calibri" w:cs="Courier New"/>
        </w:rPr>
        <w:t xml:space="preserve"> of sequencing</w:t>
      </w:r>
      <w:r w:rsidR="009556F7" w:rsidRPr="001B0027">
        <w:rPr>
          <w:rFonts w:ascii="Calibri" w:hAnsi="Calibri" w:cs="Courier New"/>
        </w:rPr>
        <w:t xml:space="preserve"> a strand of DNA</w:t>
      </w:r>
      <w:r w:rsidR="00B5306D" w:rsidRPr="001B0027">
        <w:rPr>
          <w:rFonts w:ascii="Calibri" w:hAnsi="Calibri" w:cs="Courier New"/>
        </w:rPr>
        <w:t xml:space="preserve"> is called </w:t>
      </w:r>
      <w:r w:rsidR="009556F7" w:rsidRPr="001B0027">
        <w:rPr>
          <w:rFonts w:ascii="Calibri" w:hAnsi="Calibri" w:cs="Courier New"/>
        </w:rPr>
        <w:t>“</w:t>
      </w:r>
      <w:r w:rsidR="00B5306D" w:rsidRPr="001B0027">
        <w:rPr>
          <w:rFonts w:ascii="Calibri" w:hAnsi="Calibri" w:cs="Courier New"/>
        </w:rPr>
        <w:t>Dye-Terminator Sequencing</w:t>
      </w:r>
      <w:r w:rsidR="009556F7" w:rsidRPr="001B0027">
        <w:rPr>
          <w:rFonts w:ascii="Calibri" w:hAnsi="Calibri" w:cs="Courier New"/>
        </w:rPr>
        <w:t>”</w:t>
      </w:r>
      <w:r w:rsidR="00B5306D" w:rsidRPr="001B0027">
        <w:rPr>
          <w:rFonts w:ascii="Calibri" w:hAnsi="Calibri" w:cs="Courier New"/>
        </w:rPr>
        <w:t xml:space="preserve"> (Figure </w:t>
      </w:r>
      <w:r w:rsidR="004B53EF" w:rsidRPr="001B0027">
        <w:rPr>
          <w:rFonts w:ascii="Calibri" w:hAnsi="Calibri" w:cs="Courier New"/>
        </w:rPr>
        <w:t>2</w:t>
      </w:r>
      <w:r w:rsidR="00B5306D" w:rsidRPr="001B0027">
        <w:rPr>
          <w:rFonts w:ascii="Calibri" w:hAnsi="Calibri" w:cs="Courier New"/>
        </w:rPr>
        <w:t xml:space="preserve">). </w:t>
      </w:r>
      <w:r w:rsidR="00716014" w:rsidRPr="001B0027">
        <w:rPr>
          <w:rFonts w:ascii="Calibri" w:hAnsi="Calibri" w:cs="Courier New"/>
        </w:rPr>
        <w:t xml:space="preserve">Dye-Terminator Sequencing allows scientists to sequence DNA much quicker.  This benefit of Dye-Terminator Sequencing is one reason why it is a preferred method by today’s scientists.   </w:t>
      </w:r>
    </w:p>
    <w:p w:rsidR="00142758" w:rsidRPr="001B0027" w:rsidRDefault="004B53EF" w:rsidP="001B0027">
      <w:pPr>
        <w:pStyle w:val="ListParagraph"/>
        <w:numPr>
          <w:ilvl w:val="0"/>
          <w:numId w:val="10"/>
        </w:numPr>
        <w:rPr>
          <w:rFonts w:ascii="Calibri" w:hAnsi="Calibri" w:cs="Courier New"/>
          <w:sz w:val="22"/>
          <w:szCs w:val="22"/>
        </w:rPr>
      </w:pPr>
      <w:r w:rsidRPr="001B0027">
        <w:rPr>
          <w:rFonts w:ascii="Calibri" w:hAnsi="Calibri" w:cs="Courier New"/>
          <w:sz w:val="22"/>
          <w:szCs w:val="22"/>
        </w:rPr>
        <w:t>First, modified versions of nucleotides are used to separate the DNA that was amplified during PCR into four distinct groups based on their nucleotide base</w:t>
      </w:r>
      <w:r w:rsidR="009556F7" w:rsidRPr="001B0027">
        <w:rPr>
          <w:rFonts w:ascii="Calibri" w:hAnsi="Calibri" w:cs="Courier New"/>
          <w:sz w:val="22"/>
          <w:szCs w:val="22"/>
        </w:rPr>
        <w:t>.</w:t>
      </w:r>
    </w:p>
    <w:p w:rsidR="00142758" w:rsidRPr="001B0027" w:rsidRDefault="009556F7" w:rsidP="001B0027">
      <w:pPr>
        <w:pStyle w:val="ListParagraph"/>
        <w:numPr>
          <w:ilvl w:val="0"/>
          <w:numId w:val="10"/>
        </w:numPr>
        <w:rPr>
          <w:rFonts w:ascii="Calibri" w:hAnsi="Calibri" w:cs="Courier New"/>
          <w:sz w:val="22"/>
          <w:szCs w:val="22"/>
        </w:rPr>
      </w:pPr>
      <w:r w:rsidRPr="001B0027">
        <w:rPr>
          <w:rFonts w:ascii="Calibri" w:hAnsi="Calibri" w:cs="Courier New"/>
          <w:sz w:val="22"/>
          <w:szCs w:val="22"/>
        </w:rPr>
        <w:t>Then,</w:t>
      </w:r>
      <w:r w:rsidR="00B5306D" w:rsidRPr="001B0027">
        <w:rPr>
          <w:rFonts w:ascii="Calibri" w:hAnsi="Calibri" w:cs="Courier New"/>
          <w:sz w:val="22"/>
          <w:szCs w:val="22"/>
        </w:rPr>
        <w:t xml:space="preserve"> each chain terminator nucleotide is labeled with a different fluorescent dye.  </w:t>
      </w:r>
    </w:p>
    <w:p w:rsidR="00142758" w:rsidRPr="001B0027" w:rsidRDefault="00B5306D" w:rsidP="001B0027">
      <w:pPr>
        <w:pStyle w:val="ListParagraph"/>
        <w:numPr>
          <w:ilvl w:val="0"/>
          <w:numId w:val="10"/>
        </w:numPr>
        <w:rPr>
          <w:rFonts w:ascii="Calibri" w:hAnsi="Calibri" w:cs="Courier New"/>
          <w:sz w:val="22"/>
          <w:szCs w:val="22"/>
        </w:rPr>
      </w:pPr>
      <w:r w:rsidRPr="001B0027">
        <w:rPr>
          <w:rFonts w:ascii="Calibri" w:hAnsi="Calibri" w:cs="Courier New"/>
          <w:sz w:val="22"/>
          <w:szCs w:val="22"/>
        </w:rPr>
        <w:t xml:space="preserve">Each of these dyes will fluoresce at a different wavelength, allowing the reactions to be distinguished from one another.  </w:t>
      </w:r>
    </w:p>
    <w:p w:rsidR="00B5306D" w:rsidRDefault="00B5306D" w:rsidP="004B53EF">
      <w:pPr>
        <w:pStyle w:val="ListParagraph"/>
        <w:numPr>
          <w:ilvl w:val="0"/>
          <w:numId w:val="10"/>
        </w:numPr>
        <w:rPr>
          <w:rFonts w:ascii="Calibri" w:hAnsi="Calibri" w:cs="Courier New"/>
          <w:sz w:val="22"/>
          <w:szCs w:val="22"/>
        </w:rPr>
      </w:pPr>
      <w:r w:rsidRPr="001B0027">
        <w:rPr>
          <w:rFonts w:ascii="Calibri" w:hAnsi="Calibri" w:cs="Courier New"/>
          <w:sz w:val="22"/>
          <w:szCs w:val="22"/>
        </w:rPr>
        <w:t>Scientists are then able to sequence the DNA by recognizing whether an A, T, G, or C is present</w:t>
      </w:r>
      <w:r w:rsidR="009556F7" w:rsidRPr="001B0027">
        <w:rPr>
          <w:rFonts w:ascii="Calibri" w:hAnsi="Calibri" w:cs="Courier New"/>
          <w:sz w:val="22"/>
          <w:szCs w:val="22"/>
        </w:rPr>
        <w:t xml:space="preserve"> based on the color of the fl</w:t>
      </w:r>
      <w:r w:rsidR="005B7AFD">
        <w:rPr>
          <w:rFonts w:ascii="Calibri" w:hAnsi="Calibri" w:cs="Courier New"/>
          <w:sz w:val="22"/>
          <w:szCs w:val="22"/>
        </w:rPr>
        <w:t>u</w:t>
      </w:r>
      <w:r w:rsidR="009556F7" w:rsidRPr="001B0027">
        <w:rPr>
          <w:rFonts w:ascii="Calibri" w:hAnsi="Calibri" w:cs="Courier New"/>
          <w:sz w:val="22"/>
          <w:szCs w:val="22"/>
        </w:rPr>
        <w:t>orescent reaction</w:t>
      </w:r>
      <w:r w:rsidR="004922AE">
        <w:rPr>
          <w:rFonts w:ascii="Calibri" w:hAnsi="Calibri" w:cs="Courier New"/>
          <w:sz w:val="22"/>
          <w:szCs w:val="22"/>
        </w:rPr>
        <w:t xml:space="preserve"> </w:t>
      </w:r>
      <w:r w:rsidR="004B53EF" w:rsidRPr="001B0027">
        <w:rPr>
          <w:rFonts w:ascii="Calibri" w:hAnsi="Calibri" w:cs="Courier New"/>
          <w:sz w:val="22"/>
          <w:szCs w:val="22"/>
        </w:rPr>
        <w:t xml:space="preserve">(Figure </w:t>
      </w:r>
      <w:r w:rsidR="009556F7" w:rsidRPr="001B0027">
        <w:rPr>
          <w:rFonts w:ascii="Calibri" w:hAnsi="Calibri" w:cs="Courier New"/>
          <w:sz w:val="22"/>
          <w:szCs w:val="22"/>
        </w:rPr>
        <w:t>3</w:t>
      </w:r>
      <w:r w:rsidR="004B53EF" w:rsidRPr="001B0027">
        <w:rPr>
          <w:rFonts w:ascii="Calibri" w:hAnsi="Calibri" w:cs="Courier New"/>
          <w:sz w:val="22"/>
          <w:szCs w:val="22"/>
        </w:rPr>
        <w:t>)</w:t>
      </w:r>
      <w:r w:rsidRPr="001B0027">
        <w:rPr>
          <w:rFonts w:ascii="Calibri" w:hAnsi="Calibri" w:cs="Courier New"/>
          <w:sz w:val="22"/>
          <w:szCs w:val="22"/>
        </w:rPr>
        <w:t xml:space="preserve">.  </w:t>
      </w:r>
    </w:p>
    <w:p w:rsidR="00563DAC" w:rsidRPr="001B0027" w:rsidRDefault="00563DAC" w:rsidP="00563DAC">
      <w:pPr>
        <w:pStyle w:val="ListParagraph"/>
        <w:rPr>
          <w:rFonts w:ascii="Calibri" w:hAnsi="Calibri" w:cs="Courier New"/>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563DAC" w:rsidTr="00FB16A3">
        <w:tc>
          <w:tcPr>
            <w:tcW w:w="6588" w:type="dxa"/>
          </w:tcPr>
          <w:p w:rsidR="00563DAC" w:rsidRDefault="00563DAC" w:rsidP="00563DAC">
            <w:pPr>
              <w:pStyle w:val="NoSpacing"/>
              <w:jc w:val="center"/>
              <w:rPr>
                <w:b/>
              </w:rPr>
            </w:pPr>
            <w:r>
              <w:rPr>
                <w:noProof/>
              </w:rPr>
              <w:drawing>
                <wp:inline distT="0" distB="0" distL="0" distR="0" wp14:anchorId="362134FC" wp14:editId="32FA89EE">
                  <wp:extent cx="3721100" cy="3637280"/>
                  <wp:effectExtent l="0" t="0" r="0" b="0"/>
                  <wp:docPr id="2" name="Picture 2" descr="http://www.austincc.edu/mlt/mdfund/pictures/sequenc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stincc.edu/mlt/mdfund/pictures/sequencing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0" cy="3637280"/>
                          </a:xfrm>
                          <a:prstGeom prst="rect">
                            <a:avLst/>
                          </a:prstGeom>
                          <a:noFill/>
                          <a:ln>
                            <a:noFill/>
                          </a:ln>
                        </pic:spPr>
                      </pic:pic>
                    </a:graphicData>
                  </a:graphic>
                </wp:inline>
              </w:drawing>
            </w:r>
          </w:p>
          <w:p w:rsidR="00563DAC" w:rsidRDefault="00563DAC" w:rsidP="00563DAC">
            <w:pPr>
              <w:pStyle w:val="NoSpacing"/>
              <w:jc w:val="center"/>
              <w:rPr>
                <w:b/>
              </w:rPr>
            </w:pPr>
          </w:p>
          <w:p w:rsidR="00563DAC" w:rsidRPr="00563DAC" w:rsidRDefault="00563DAC" w:rsidP="00563DAC">
            <w:pPr>
              <w:pStyle w:val="NoSpacing"/>
              <w:jc w:val="center"/>
              <w:rPr>
                <w:b/>
                <w:sz w:val="22"/>
              </w:rPr>
            </w:pPr>
            <w:r w:rsidRPr="00563DAC">
              <w:rPr>
                <w:b/>
                <w:sz w:val="22"/>
              </w:rPr>
              <w:t>Figure 2: Steps of dye-terminator sequencing</w:t>
            </w:r>
          </w:p>
          <w:p w:rsidR="00563DAC" w:rsidRPr="00FB16A3" w:rsidRDefault="00563DAC" w:rsidP="00563DAC">
            <w:pPr>
              <w:pStyle w:val="NoSpacing"/>
              <w:jc w:val="center"/>
              <w:rPr>
                <w:rFonts w:ascii="Calibri" w:hAnsi="Calibri" w:cs="Courier New"/>
              </w:rPr>
            </w:pPr>
            <w:r w:rsidRPr="00FB16A3">
              <w:rPr>
                <w:sz w:val="22"/>
              </w:rPr>
              <w:t>Source: Kotrla, 2007</w:t>
            </w:r>
          </w:p>
        </w:tc>
        <w:tc>
          <w:tcPr>
            <w:tcW w:w="6588" w:type="dxa"/>
          </w:tcPr>
          <w:p w:rsidR="00563DAC" w:rsidRDefault="00563DAC" w:rsidP="00563DAC">
            <w:pPr>
              <w:pStyle w:val="Caption"/>
              <w:jc w:val="center"/>
              <w:rPr>
                <w:rFonts w:ascii="Calibri" w:hAnsi="Calibri"/>
                <w:color w:val="auto"/>
                <w:sz w:val="20"/>
                <w:szCs w:val="20"/>
              </w:rPr>
            </w:pPr>
            <w:r>
              <w:rPr>
                <w:noProof/>
              </w:rPr>
              <w:drawing>
                <wp:inline distT="0" distB="0" distL="0" distR="0" wp14:anchorId="508A35E5" wp14:editId="61426223">
                  <wp:extent cx="2477386" cy="3520456"/>
                  <wp:effectExtent l="0" t="0" r="0" b="0"/>
                  <wp:docPr id="7" name="Picture 7" descr="http://upload.wikimedia.org/wikipedia/commons/thumb/3/3d/Radioactive_Fluorescent_Seq.jpg/220px-Radioactive_Fluorescent_S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3/3d/Radioactive_Fluorescent_Seq.jpg/220px-Radioactive_Fluorescent_Seq.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7683" cy="3520878"/>
                          </a:xfrm>
                          <a:prstGeom prst="rect">
                            <a:avLst/>
                          </a:prstGeom>
                          <a:noFill/>
                          <a:ln>
                            <a:noFill/>
                          </a:ln>
                        </pic:spPr>
                      </pic:pic>
                    </a:graphicData>
                  </a:graphic>
                </wp:inline>
              </w:drawing>
            </w:r>
          </w:p>
          <w:p w:rsidR="00563DAC" w:rsidRPr="00563DAC" w:rsidRDefault="00563DAC" w:rsidP="00563DAC"/>
          <w:p w:rsidR="00563DAC" w:rsidRPr="00563DAC" w:rsidRDefault="00563DAC" w:rsidP="00563DAC">
            <w:pPr>
              <w:pStyle w:val="Caption"/>
              <w:jc w:val="center"/>
              <w:rPr>
                <w:rFonts w:ascii="Calibri" w:hAnsi="Calibri"/>
                <w:color w:val="auto"/>
                <w:sz w:val="22"/>
                <w:szCs w:val="22"/>
              </w:rPr>
            </w:pPr>
            <w:r w:rsidRPr="00563DAC">
              <w:rPr>
                <w:rFonts w:ascii="Calibri" w:hAnsi="Calibri"/>
                <w:color w:val="auto"/>
                <w:sz w:val="22"/>
                <w:szCs w:val="22"/>
              </w:rPr>
              <w:t>Figure 3: Fluorescent peaks detected by a sequencing machine</w:t>
            </w:r>
          </w:p>
          <w:p w:rsidR="00563DAC" w:rsidRPr="00FB16A3" w:rsidRDefault="00563DAC" w:rsidP="00563DAC">
            <w:pPr>
              <w:contextualSpacing/>
              <w:jc w:val="center"/>
              <w:rPr>
                <w:rFonts w:ascii="Calibri" w:hAnsi="Calibri" w:cs="Courier New"/>
              </w:rPr>
            </w:pPr>
            <w:r w:rsidRPr="00FB16A3">
              <w:rPr>
                <w:sz w:val="22"/>
                <w:szCs w:val="22"/>
              </w:rPr>
              <w:t>Source: Lakdawalla, 2007</w:t>
            </w:r>
          </w:p>
        </w:tc>
      </w:tr>
    </w:tbl>
    <w:p w:rsidR="00B5306D" w:rsidRPr="00D0675D" w:rsidRDefault="00D0675D" w:rsidP="004B53EF">
      <w:pPr>
        <w:contextualSpacing/>
        <w:rPr>
          <w:rFonts w:ascii="Calibri" w:hAnsi="Calibri" w:cs="Courier New"/>
          <w:b/>
        </w:rPr>
      </w:pPr>
      <w:r w:rsidRPr="00D0675D">
        <w:rPr>
          <w:rFonts w:ascii="Calibri" w:hAnsi="Calibri" w:cs="Courier New"/>
          <w:b/>
        </w:rPr>
        <w:lastRenderedPageBreak/>
        <w:t>References</w:t>
      </w:r>
      <w:r w:rsidR="00B5306D" w:rsidRPr="00D0675D">
        <w:rPr>
          <w:rFonts w:ascii="Calibri" w:hAnsi="Calibri" w:cs="Courier New"/>
          <w:b/>
        </w:rPr>
        <w:t>:</w:t>
      </w:r>
    </w:p>
    <w:p w:rsidR="0049112B" w:rsidRPr="0049112B" w:rsidRDefault="0049112B" w:rsidP="00C53086">
      <w:pPr>
        <w:rPr>
          <w:rFonts w:ascii="Calibri" w:hAnsi="Calibri" w:cs="Courier New"/>
          <w:szCs w:val="20"/>
        </w:rPr>
      </w:pPr>
      <w:r w:rsidRPr="0049112B">
        <w:rPr>
          <w:rFonts w:ascii="Calibri" w:hAnsi="Calibri" w:cs="Courier New"/>
          <w:szCs w:val="20"/>
        </w:rPr>
        <w:t>Cowrie Genetic Database Proj</w:t>
      </w:r>
      <w:r w:rsidR="009F7BD3">
        <w:rPr>
          <w:rFonts w:ascii="Calibri" w:hAnsi="Calibri" w:cs="Courier New"/>
          <w:szCs w:val="20"/>
        </w:rPr>
        <w:t xml:space="preserve">ect. (2005). DNA amplification. </w:t>
      </w:r>
      <w:bookmarkStart w:id="0" w:name="_GoBack"/>
      <w:bookmarkEnd w:id="0"/>
      <w:r w:rsidRPr="0049112B">
        <w:rPr>
          <w:rFonts w:ascii="Calibri" w:hAnsi="Calibri" w:cs="Courier New"/>
          <w:szCs w:val="20"/>
        </w:rPr>
        <w:t>Florida Museum of Natural History. Retrieved from: http://www.flmnh.ufl.edu/cowries/amplify.html</w:t>
      </w:r>
    </w:p>
    <w:p w:rsidR="00FB16A3" w:rsidRPr="00C53086" w:rsidRDefault="00FB16A3" w:rsidP="00C53086">
      <w:pPr>
        <w:rPr>
          <w:rFonts w:ascii="Calibri" w:hAnsi="Calibri" w:cs="Courier New"/>
        </w:rPr>
      </w:pPr>
      <w:r w:rsidRPr="00C53086">
        <w:rPr>
          <w:rFonts w:ascii="Calibri" w:hAnsi="Calibri" w:cs="Courier New"/>
        </w:rPr>
        <w:t>Kotrla, T. (2007). Sequencing Procedure. Retrieved from: http://www.austincc.edu/mlt/mdfund/mdfund_unit12objectives.html</w:t>
      </w:r>
    </w:p>
    <w:p w:rsidR="006320E4" w:rsidRPr="00C53086" w:rsidRDefault="007F2019" w:rsidP="00C53086">
      <w:pPr>
        <w:rPr>
          <w:rStyle w:val="Hyperlink"/>
          <w:rFonts w:ascii="Calibri" w:hAnsi="Calibri" w:cs="Courier New"/>
          <w:color w:val="auto"/>
          <w:u w:val="none"/>
        </w:rPr>
      </w:pPr>
      <w:r w:rsidRPr="00C53086">
        <w:rPr>
          <w:rFonts w:ascii="Calibri" w:hAnsi="Calibri" w:cs="Courier New"/>
        </w:rPr>
        <w:t xml:space="preserve">Lakdawalla, A. (2007). Radioactive Fluorescent Seq. Wikipedia. Retrieved from: </w:t>
      </w:r>
      <w:r w:rsidR="00B5306D" w:rsidRPr="00C53086">
        <w:rPr>
          <w:rFonts w:ascii="Calibri" w:hAnsi="Calibri" w:cs="Courier New"/>
        </w:rPr>
        <w:t>http://en.wikipedia.org/wiki/DNA_sequencing</w:t>
      </w:r>
    </w:p>
    <w:p w:rsidR="00FB16A3" w:rsidRPr="00C53086" w:rsidRDefault="002B79DB" w:rsidP="00C53086">
      <w:pPr>
        <w:rPr>
          <w:rFonts w:ascii="Calibri" w:hAnsi="Calibri" w:cs="Courier New"/>
        </w:rPr>
      </w:pPr>
      <w:r w:rsidRPr="00C53086">
        <w:rPr>
          <w:rFonts w:ascii="Calibri" w:hAnsi="Calibri" w:cs="Courier New"/>
        </w:rPr>
        <w:t>Louie T.J., Cannon K., Byrne B., Emery J., Ward L., Eyben M., Krulicki W.</w:t>
      </w:r>
      <w:r w:rsidR="009C05CF" w:rsidRPr="00C53086">
        <w:rPr>
          <w:rFonts w:ascii="Calibri" w:hAnsi="Calibri" w:cs="Courier New"/>
        </w:rPr>
        <w:t xml:space="preserve"> (2012)</w:t>
      </w:r>
      <w:r w:rsidRPr="00C53086">
        <w:rPr>
          <w:rFonts w:ascii="Calibri" w:hAnsi="Calibri" w:cs="Courier New"/>
        </w:rPr>
        <w:t xml:space="preserve"> Fidaxomicin preserves the intestinal microbiome during and after treatment of Clostridium difficile infection (CDI) and reduces both toxin reexpression and recurrence of CDI. </w:t>
      </w:r>
      <w:r w:rsidRPr="00C53086">
        <w:rPr>
          <w:rFonts w:ascii="Calibri" w:hAnsi="Calibri" w:cs="Courier New"/>
          <w:i/>
        </w:rPr>
        <w:t>Clin Infect Dis</w:t>
      </w:r>
      <w:r w:rsidRPr="00C53086">
        <w:rPr>
          <w:rFonts w:ascii="Calibri" w:hAnsi="Calibri" w:cs="Courier New"/>
        </w:rPr>
        <w:t>. 55 Suppl 2:S132-42.</w:t>
      </w:r>
    </w:p>
    <w:p w:rsidR="003C77B2" w:rsidRDefault="001F3883" w:rsidP="00C53086">
      <w:pPr>
        <w:rPr>
          <w:rFonts w:ascii="Calibri" w:hAnsi="Calibri" w:cs="Courier New"/>
        </w:rPr>
      </w:pPr>
      <w:r>
        <w:rPr>
          <w:rFonts w:ascii="Calibri" w:hAnsi="Calibri" w:cs="Courier New"/>
        </w:rPr>
        <w:t>Obenrader, S.The sanger method.</w:t>
      </w:r>
      <w:r w:rsidR="00FB16A3" w:rsidRPr="00C53086">
        <w:rPr>
          <w:rFonts w:ascii="Calibri" w:hAnsi="Calibri" w:cs="Courier New"/>
        </w:rPr>
        <w:t xml:space="preserve">Davidson College. Retrieved from: </w:t>
      </w:r>
      <w:hyperlink r:id="rId12" w:history="1">
        <w:r w:rsidR="0049112B" w:rsidRPr="008E0A0A">
          <w:rPr>
            <w:rStyle w:val="Hyperlink"/>
            <w:rFonts w:ascii="Calibri" w:hAnsi="Calibri" w:cs="Courier New"/>
          </w:rPr>
          <w:t>http://www.bio.davidson.edu/Courses/Molbio/MolStudents/spring2003/Obenrader/sanger_method_page.htm</w:t>
        </w:r>
      </w:hyperlink>
    </w:p>
    <w:p w:rsidR="0049112B" w:rsidRDefault="0049112B" w:rsidP="00C53086">
      <w:pPr>
        <w:rPr>
          <w:rFonts w:ascii="Calibri" w:hAnsi="Calibri" w:cs="Courier New"/>
        </w:rPr>
      </w:pPr>
    </w:p>
    <w:p w:rsidR="0049112B" w:rsidRPr="00C53086" w:rsidRDefault="0049112B" w:rsidP="00C53086">
      <w:pPr>
        <w:rPr>
          <w:rFonts w:ascii="Calibri" w:hAnsi="Calibri" w:cs="Courier New"/>
        </w:rPr>
      </w:pPr>
    </w:p>
    <w:sectPr w:rsidR="0049112B" w:rsidRPr="00C53086" w:rsidSect="00A61DE0">
      <w:headerReference w:type="default" r:id="rId13"/>
      <w:footerReference w:type="default" r:id="rId14"/>
      <w:pgSz w:w="15840" w:h="12240" w:orient="landscape"/>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2B" w:rsidRDefault="0049112B" w:rsidP="00684435">
      <w:pPr>
        <w:spacing w:after="0" w:line="240" w:lineRule="auto"/>
      </w:pPr>
      <w:r>
        <w:separator/>
      </w:r>
    </w:p>
  </w:endnote>
  <w:endnote w:type="continuationSeparator" w:id="0">
    <w:p w:rsidR="0049112B" w:rsidRDefault="0049112B" w:rsidP="0068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2B" w:rsidRDefault="0049112B" w:rsidP="00A61DE0">
    <w:pPr>
      <w:pStyle w:val="Footer"/>
      <w:tabs>
        <w:tab w:val="clear" w:pos="4320"/>
        <w:tab w:val="clear" w:pos="8640"/>
        <w:tab w:val="left" w:pos="0"/>
        <w:tab w:val="center" w:pos="6480"/>
        <w:tab w:val="right" w:pos="12960"/>
      </w:tabs>
    </w:pPr>
    <w:sdt>
      <w:sdtPr>
        <w:id w:val="707462717"/>
        <w:docPartObj>
          <w:docPartGallery w:val="Page Numbers (Bottom of Page)"/>
          <w:docPartUnique/>
        </w:docPartObj>
      </w:sdtPr>
      <w:sdtContent>
        <w:sdt>
          <w:sdtPr>
            <w:id w:val="-1669238322"/>
            <w:docPartObj>
              <w:docPartGallery w:val="Page Numbers (Top of Page)"/>
              <w:docPartUnique/>
            </w:docPartObj>
          </w:sdtPr>
          <w:sdtContent>
            <w:r>
              <w:rPr>
                <w:noProof/>
              </w:rPr>
              <w:drawing>
                <wp:inline distT="0" distB="0" distL="0" distR="0" wp14:anchorId="4F6F80D7" wp14:editId="03AE9D43">
                  <wp:extent cx="988656" cy="464566"/>
                  <wp:effectExtent l="0" t="0" r="254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56" cy="464566"/>
                          </a:xfrm>
                          <a:prstGeom prst="rect">
                            <a:avLst/>
                          </a:prstGeom>
                          <a:noFill/>
                          <a:ln>
                            <a:noFill/>
                          </a:ln>
                        </pic:spPr>
                      </pic:pic>
                    </a:graphicData>
                  </a:graphic>
                </wp:inline>
              </w:drawing>
            </w:r>
            <w:r>
              <w:tab/>
              <w:t xml:space="preserve">Page </w:t>
            </w:r>
            <w:r>
              <w:rPr>
                <w:b/>
                <w:bCs/>
              </w:rPr>
              <w:fldChar w:fldCharType="begin"/>
            </w:r>
            <w:r>
              <w:rPr>
                <w:b/>
                <w:bCs/>
              </w:rPr>
              <w:instrText xml:space="preserve"> PAGE </w:instrText>
            </w:r>
            <w:r>
              <w:rPr>
                <w:b/>
                <w:bCs/>
              </w:rPr>
              <w:fldChar w:fldCharType="separate"/>
            </w:r>
            <w:r w:rsidR="009F7BD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F7BD3">
              <w:rPr>
                <w:b/>
                <w:bCs/>
                <w:noProof/>
              </w:rPr>
              <w:t>3</w:t>
            </w:r>
            <w:r>
              <w:rPr>
                <w:b/>
                <w:bCs/>
              </w:rPr>
              <w:fldChar w:fldCharType="end"/>
            </w:r>
            <w:r>
              <w:rPr>
                <w:b/>
                <w:bCs/>
              </w:rPr>
              <w:t xml:space="preserve">                             </w:t>
            </w:r>
            <w:r>
              <w:rPr>
                <w:b/>
                <w:bCs/>
              </w:rPr>
              <w:tab/>
              <w:t xml:space="preserve">    </w:t>
            </w:r>
            <w:r>
              <w:rPr>
                <w:noProof/>
              </w:rPr>
              <w:drawing>
                <wp:inline distT="0" distB="0" distL="0" distR="0" wp14:anchorId="5CD3CF0E" wp14:editId="44BB435F">
                  <wp:extent cx="914400" cy="4754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Microbe-BW.png"/>
                          <pic:cNvPicPr/>
                        </pic:nvPicPr>
                        <pic:blipFill>
                          <a:blip r:embed="rId2">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sdtContent>
        </w:sdt>
      </w:sdtContent>
    </w:sdt>
  </w:p>
  <w:p w:rsidR="0049112B" w:rsidRDefault="0049112B" w:rsidP="0034396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2B" w:rsidRDefault="0049112B" w:rsidP="00684435">
      <w:pPr>
        <w:spacing w:after="0" w:line="240" w:lineRule="auto"/>
      </w:pPr>
      <w:r>
        <w:separator/>
      </w:r>
    </w:p>
  </w:footnote>
  <w:footnote w:type="continuationSeparator" w:id="0">
    <w:p w:rsidR="0049112B" w:rsidRDefault="0049112B" w:rsidP="0068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2B" w:rsidRPr="00A61DE0" w:rsidRDefault="0049112B" w:rsidP="00A61DE0">
    <w:pPr>
      <w:pStyle w:val="Header"/>
      <w:tabs>
        <w:tab w:val="clear" w:pos="4320"/>
        <w:tab w:val="clear" w:pos="8640"/>
        <w:tab w:val="center" w:pos="6480"/>
        <w:tab w:val="right" w:pos="12960"/>
      </w:tabs>
      <w:rPr>
        <w:sz w:val="22"/>
      </w:rPr>
    </w:pPr>
    <w:r w:rsidRPr="00A61DE0">
      <w:rPr>
        <w:sz w:val="22"/>
      </w:rPr>
      <w:t>How do small things make a big difference?</w:t>
    </w:r>
    <w:r w:rsidRPr="00A61DE0">
      <w:rPr>
        <w:sz w:val="22"/>
      </w:rPr>
      <w:tab/>
      <w:t xml:space="preserve">   </w:t>
    </w:r>
    <w:r w:rsidRPr="00A61DE0">
      <w:rPr>
        <w:sz w:val="22"/>
      </w:rPr>
      <w:tab/>
      <w:t>September 2014</w:t>
    </w:r>
  </w:p>
  <w:p w:rsidR="0049112B" w:rsidRPr="00A61DE0" w:rsidRDefault="0049112B" w:rsidP="00A61DE0">
    <w:pPr>
      <w:pStyle w:val="Header"/>
      <w:tabs>
        <w:tab w:val="clear" w:pos="8640"/>
        <w:tab w:val="right" w:pos="9360"/>
      </w:tabs>
      <w:jc w:val="both"/>
      <w:rPr>
        <w:sz w:val="22"/>
      </w:rPr>
    </w:pPr>
    <w:r w:rsidRPr="00A61DE0">
      <w:rPr>
        <w:sz w:val="22"/>
      </w:rPr>
      <w:t>Lesson 6: What can happen when my microbiome is disturbed?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5746"/>
    <w:multiLevelType w:val="multilevel"/>
    <w:tmpl w:val="B80C2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457D6"/>
    <w:multiLevelType w:val="multilevel"/>
    <w:tmpl w:val="EE0C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AF3DE9"/>
    <w:multiLevelType w:val="hybridMultilevel"/>
    <w:tmpl w:val="BF78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04999"/>
    <w:multiLevelType w:val="hybridMultilevel"/>
    <w:tmpl w:val="79C2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06119"/>
    <w:multiLevelType w:val="multilevel"/>
    <w:tmpl w:val="8852240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nsid w:val="42D06A6B"/>
    <w:multiLevelType w:val="multilevel"/>
    <w:tmpl w:val="BB82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D06FBB"/>
    <w:multiLevelType w:val="hybridMultilevel"/>
    <w:tmpl w:val="65BA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4E42"/>
    <w:multiLevelType w:val="multilevel"/>
    <w:tmpl w:val="1C08BEA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nsid w:val="57FC291A"/>
    <w:multiLevelType w:val="hybridMultilevel"/>
    <w:tmpl w:val="FC9C7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9662D"/>
    <w:multiLevelType w:val="multilevel"/>
    <w:tmpl w:val="1C08B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6024AD"/>
    <w:multiLevelType w:val="multilevel"/>
    <w:tmpl w:val="E53C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9"/>
  </w:num>
  <w:num w:numId="4">
    <w:abstractNumId w:val="4"/>
  </w:num>
  <w:num w:numId="5">
    <w:abstractNumId w:val="5"/>
  </w:num>
  <w:num w:numId="6">
    <w:abstractNumId w:val="0"/>
  </w:num>
  <w:num w:numId="7">
    <w:abstractNumId w:val="1"/>
  </w:num>
  <w:num w:numId="8">
    <w:abstractNumId w:val="7"/>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993700"/>
    <w:rsid w:val="00002B2D"/>
    <w:rsid w:val="00010B73"/>
    <w:rsid w:val="000439C7"/>
    <w:rsid w:val="00046C9E"/>
    <w:rsid w:val="00111CC3"/>
    <w:rsid w:val="00142758"/>
    <w:rsid w:val="00192FBF"/>
    <w:rsid w:val="001B0027"/>
    <w:rsid w:val="001D5FB4"/>
    <w:rsid w:val="001F3883"/>
    <w:rsid w:val="00241597"/>
    <w:rsid w:val="002471F2"/>
    <w:rsid w:val="002763DD"/>
    <w:rsid w:val="002A3B66"/>
    <w:rsid w:val="002B40E6"/>
    <w:rsid w:val="002B79DB"/>
    <w:rsid w:val="00343960"/>
    <w:rsid w:val="003A35F0"/>
    <w:rsid w:val="003B6142"/>
    <w:rsid w:val="003C77B2"/>
    <w:rsid w:val="00417A75"/>
    <w:rsid w:val="00447695"/>
    <w:rsid w:val="00473336"/>
    <w:rsid w:val="00484004"/>
    <w:rsid w:val="0049112B"/>
    <w:rsid w:val="004922AE"/>
    <w:rsid w:val="004B4B37"/>
    <w:rsid w:val="004B53EF"/>
    <w:rsid w:val="004D5581"/>
    <w:rsid w:val="0050408A"/>
    <w:rsid w:val="00546D54"/>
    <w:rsid w:val="00563DAC"/>
    <w:rsid w:val="0058323D"/>
    <w:rsid w:val="005B7AFD"/>
    <w:rsid w:val="005D633D"/>
    <w:rsid w:val="006320E4"/>
    <w:rsid w:val="006405B5"/>
    <w:rsid w:val="00684435"/>
    <w:rsid w:val="006B2584"/>
    <w:rsid w:val="006D3D84"/>
    <w:rsid w:val="00705A76"/>
    <w:rsid w:val="00714303"/>
    <w:rsid w:val="00716014"/>
    <w:rsid w:val="00771667"/>
    <w:rsid w:val="00797BF1"/>
    <w:rsid w:val="007F2019"/>
    <w:rsid w:val="00807F9D"/>
    <w:rsid w:val="00815009"/>
    <w:rsid w:val="0084093A"/>
    <w:rsid w:val="00842018"/>
    <w:rsid w:val="0088769E"/>
    <w:rsid w:val="00896E79"/>
    <w:rsid w:val="00916BD2"/>
    <w:rsid w:val="00927344"/>
    <w:rsid w:val="009556F7"/>
    <w:rsid w:val="009762A2"/>
    <w:rsid w:val="00982997"/>
    <w:rsid w:val="00993700"/>
    <w:rsid w:val="009A390E"/>
    <w:rsid w:val="009C05CF"/>
    <w:rsid w:val="009C222E"/>
    <w:rsid w:val="009C3E9A"/>
    <w:rsid w:val="009F7BD3"/>
    <w:rsid w:val="00A23429"/>
    <w:rsid w:val="00A545D2"/>
    <w:rsid w:val="00A61DE0"/>
    <w:rsid w:val="00A8509F"/>
    <w:rsid w:val="00A92008"/>
    <w:rsid w:val="00B1083C"/>
    <w:rsid w:val="00B17638"/>
    <w:rsid w:val="00B22DB4"/>
    <w:rsid w:val="00B305FA"/>
    <w:rsid w:val="00B371DA"/>
    <w:rsid w:val="00B5306D"/>
    <w:rsid w:val="00B553B6"/>
    <w:rsid w:val="00B74896"/>
    <w:rsid w:val="00BB1E2C"/>
    <w:rsid w:val="00BD2968"/>
    <w:rsid w:val="00BF0D93"/>
    <w:rsid w:val="00C50117"/>
    <w:rsid w:val="00C53086"/>
    <w:rsid w:val="00C603DE"/>
    <w:rsid w:val="00CA7726"/>
    <w:rsid w:val="00CC040E"/>
    <w:rsid w:val="00CD38DD"/>
    <w:rsid w:val="00CE3715"/>
    <w:rsid w:val="00D0675D"/>
    <w:rsid w:val="00D261CC"/>
    <w:rsid w:val="00D3437A"/>
    <w:rsid w:val="00DE127D"/>
    <w:rsid w:val="00E6027D"/>
    <w:rsid w:val="00F0184B"/>
    <w:rsid w:val="00F629E4"/>
    <w:rsid w:val="00F92FC6"/>
    <w:rsid w:val="00FB16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enu v:ext="edit"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46D54"/>
    <w:pPr>
      <w:spacing w:after="0" w:line="240" w:lineRule="auto"/>
      <w:ind w:left="720"/>
      <w:contextualSpacing/>
    </w:pPr>
    <w:rPr>
      <w:sz w:val="24"/>
      <w:szCs w:val="24"/>
    </w:rPr>
  </w:style>
  <w:style w:type="paragraph" w:styleId="Header">
    <w:name w:val="header"/>
    <w:basedOn w:val="Normal"/>
    <w:link w:val="HeaderChar"/>
    <w:uiPriority w:val="99"/>
    <w:rsid w:val="00546D54"/>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546D54"/>
    <w:rPr>
      <w:sz w:val="24"/>
      <w:szCs w:val="24"/>
    </w:rPr>
  </w:style>
  <w:style w:type="paragraph" w:styleId="Footer">
    <w:name w:val="footer"/>
    <w:basedOn w:val="Normal"/>
    <w:link w:val="FooterChar"/>
    <w:uiPriority w:val="99"/>
    <w:rsid w:val="00546D54"/>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546D54"/>
    <w:rPr>
      <w:sz w:val="24"/>
      <w:szCs w:val="24"/>
    </w:rPr>
  </w:style>
  <w:style w:type="table" w:styleId="TableGrid">
    <w:name w:val="Table Grid"/>
    <w:basedOn w:val="TableNormal"/>
    <w:rsid w:val="00546D54"/>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D54"/>
    <w:rPr>
      <w:rFonts w:ascii="Tahoma" w:hAnsi="Tahoma" w:cs="Tahoma"/>
      <w:sz w:val="16"/>
      <w:szCs w:val="16"/>
    </w:rPr>
  </w:style>
  <w:style w:type="character" w:styleId="Hyperlink">
    <w:name w:val="Hyperlink"/>
    <w:basedOn w:val="DefaultParagraphFont"/>
    <w:rsid w:val="00B5306D"/>
    <w:rPr>
      <w:color w:val="0000FF" w:themeColor="hyperlink"/>
      <w:u w:val="single"/>
    </w:rPr>
  </w:style>
  <w:style w:type="paragraph" w:styleId="Caption">
    <w:name w:val="caption"/>
    <w:basedOn w:val="Normal"/>
    <w:next w:val="Normal"/>
    <w:unhideWhenUsed/>
    <w:qFormat/>
    <w:rsid w:val="00B5306D"/>
    <w:pPr>
      <w:spacing w:line="240" w:lineRule="auto"/>
    </w:pPr>
    <w:rPr>
      <w:rFonts w:ascii="Times New Roman" w:eastAsia="Times New Roman" w:hAnsi="Times New Roman" w:cs="Times New Roman"/>
      <w:b/>
      <w:bCs/>
      <w:color w:val="4F81BD" w:themeColor="accent1"/>
      <w:sz w:val="18"/>
      <w:szCs w:val="18"/>
    </w:rPr>
  </w:style>
  <w:style w:type="paragraph" w:styleId="HTMLPreformatted">
    <w:name w:val="HTML Preformatted"/>
    <w:basedOn w:val="Normal"/>
    <w:link w:val="HTMLPreformattedChar"/>
    <w:uiPriority w:val="99"/>
    <w:rsid w:val="003A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3A35F0"/>
    <w:rPr>
      <w:rFonts w:ascii="Courier" w:hAnsi="Courier" w:cs="Courier"/>
      <w:sz w:val="20"/>
      <w:szCs w:val="20"/>
    </w:rPr>
  </w:style>
  <w:style w:type="character" w:styleId="FollowedHyperlink">
    <w:name w:val="FollowedHyperlink"/>
    <w:basedOn w:val="DefaultParagraphFont"/>
    <w:uiPriority w:val="99"/>
    <w:semiHidden/>
    <w:unhideWhenUsed/>
    <w:rsid w:val="00D0675D"/>
    <w:rPr>
      <w:color w:val="800080" w:themeColor="followedHyperlink"/>
      <w:u w:val="single"/>
    </w:rPr>
  </w:style>
  <w:style w:type="paragraph" w:styleId="NoSpacing">
    <w:name w:val="No Spacing"/>
    <w:uiPriority w:val="1"/>
    <w:qFormat/>
    <w:rsid w:val="00BD29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46D54"/>
    <w:pPr>
      <w:spacing w:after="0" w:line="240" w:lineRule="auto"/>
      <w:ind w:left="720"/>
      <w:contextualSpacing/>
    </w:pPr>
    <w:rPr>
      <w:sz w:val="24"/>
      <w:szCs w:val="24"/>
    </w:rPr>
  </w:style>
  <w:style w:type="paragraph" w:styleId="Header">
    <w:name w:val="header"/>
    <w:basedOn w:val="Normal"/>
    <w:link w:val="HeaderChar"/>
    <w:uiPriority w:val="99"/>
    <w:rsid w:val="00546D54"/>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546D54"/>
    <w:rPr>
      <w:sz w:val="24"/>
      <w:szCs w:val="24"/>
    </w:rPr>
  </w:style>
  <w:style w:type="paragraph" w:styleId="Footer">
    <w:name w:val="footer"/>
    <w:basedOn w:val="Normal"/>
    <w:link w:val="FooterChar"/>
    <w:uiPriority w:val="99"/>
    <w:rsid w:val="00546D54"/>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546D54"/>
    <w:rPr>
      <w:sz w:val="24"/>
      <w:szCs w:val="24"/>
    </w:rPr>
  </w:style>
  <w:style w:type="table" w:styleId="TableGrid">
    <w:name w:val="Table Grid"/>
    <w:basedOn w:val="TableNormal"/>
    <w:rsid w:val="00546D54"/>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D54"/>
    <w:rPr>
      <w:rFonts w:ascii="Tahoma" w:hAnsi="Tahoma" w:cs="Tahoma"/>
      <w:sz w:val="16"/>
      <w:szCs w:val="16"/>
    </w:rPr>
  </w:style>
  <w:style w:type="character" w:styleId="Hyperlink">
    <w:name w:val="Hyperlink"/>
    <w:basedOn w:val="DefaultParagraphFont"/>
    <w:rsid w:val="00B5306D"/>
    <w:rPr>
      <w:color w:val="0000FF" w:themeColor="hyperlink"/>
      <w:u w:val="single"/>
    </w:rPr>
  </w:style>
  <w:style w:type="paragraph" w:styleId="Caption">
    <w:name w:val="caption"/>
    <w:basedOn w:val="Normal"/>
    <w:next w:val="Normal"/>
    <w:unhideWhenUsed/>
    <w:qFormat/>
    <w:rsid w:val="00B5306D"/>
    <w:pPr>
      <w:spacing w:line="240" w:lineRule="auto"/>
    </w:pPr>
    <w:rPr>
      <w:rFonts w:ascii="Times New Roman" w:eastAsia="Times New Roman" w:hAnsi="Times New Roman" w:cs="Times New Roman"/>
      <w:b/>
      <w:bCs/>
      <w:color w:val="4F81BD" w:themeColor="accent1"/>
      <w:sz w:val="18"/>
      <w:szCs w:val="18"/>
    </w:rPr>
  </w:style>
  <w:style w:type="paragraph" w:styleId="HTMLPreformatted">
    <w:name w:val="HTML Preformatted"/>
    <w:basedOn w:val="Normal"/>
    <w:link w:val="HTMLPreformattedChar"/>
    <w:uiPriority w:val="99"/>
    <w:rsid w:val="003A3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3A35F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o.davidson.edu/Courses/Molbio/MolStudents/spring2003/Obenrader/sanger_method_pag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JPLANEY</dc:creator>
  <cp:lastModifiedBy>Chandana</cp:lastModifiedBy>
  <cp:revision>40</cp:revision>
  <cp:lastPrinted>2013-07-10T20:23:00Z</cp:lastPrinted>
  <dcterms:created xsi:type="dcterms:W3CDTF">2011-07-15T15:11:00Z</dcterms:created>
  <dcterms:modified xsi:type="dcterms:W3CDTF">2014-09-17T17:00:00Z</dcterms:modified>
</cp:coreProperties>
</file>