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ED3" w:rsidRPr="00ED73B1" w:rsidRDefault="00BA3ED3" w:rsidP="00BA3ED3">
      <w:pPr>
        <w:contextualSpacing/>
        <w:rPr>
          <w:rFonts w:ascii="Courier New" w:hAnsi="Courier New"/>
          <w:sz w:val="24"/>
          <w:szCs w:val="24"/>
        </w:rPr>
      </w:pPr>
      <w:r w:rsidRPr="00ED73B1">
        <w:rPr>
          <w:rFonts w:ascii="Courier New" w:hAnsi="Courier New"/>
          <w:b/>
          <w:sz w:val="24"/>
          <w:szCs w:val="24"/>
        </w:rPr>
        <w:t xml:space="preserve">Case Investigation #: </w:t>
      </w:r>
      <w:r>
        <w:rPr>
          <w:rFonts w:ascii="Courier New" w:hAnsi="Courier New"/>
          <w:sz w:val="24"/>
          <w:szCs w:val="24"/>
        </w:rPr>
        <w:t>9724</w:t>
      </w:r>
      <w:r w:rsidRPr="00ED73B1">
        <w:rPr>
          <w:rFonts w:ascii="Courier New" w:hAnsi="Courier New"/>
          <w:sz w:val="24"/>
          <w:szCs w:val="24"/>
        </w:rPr>
        <w:t>91</w:t>
      </w:r>
    </w:p>
    <w:p w:rsidR="00BA3ED3" w:rsidRPr="00ED73B1" w:rsidRDefault="00BA3ED3" w:rsidP="00BA3ED3">
      <w:pPr>
        <w:contextualSpacing/>
        <w:rPr>
          <w:rFonts w:ascii="Courier New" w:hAnsi="Courier New" w:cs="Verdana"/>
          <w:sz w:val="24"/>
          <w:szCs w:val="24"/>
          <w:lang w:bidi="en-US"/>
        </w:rPr>
      </w:pPr>
    </w:p>
    <w:p w:rsidR="00BA3ED3" w:rsidRDefault="00BA3ED3" w:rsidP="00BA3ED3">
      <w:pPr>
        <w:contextualSpacing/>
        <w:rPr>
          <w:rFonts w:ascii="Courier New" w:hAnsi="Courier New" w:cs="Verdana"/>
          <w:sz w:val="24"/>
          <w:szCs w:val="24"/>
          <w:lang w:bidi="en-US"/>
        </w:rPr>
      </w:pPr>
      <w:r w:rsidRPr="00ED73B1">
        <w:rPr>
          <w:rFonts w:ascii="Courier New" w:hAnsi="Courier New" w:cs="Verdana"/>
          <w:sz w:val="24"/>
          <w:szCs w:val="24"/>
          <w:lang w:bidi="en-US"/>
        </w:rPr>
        <w:t>Investigators,</w:t>
      </w:r>
    </w:p>
    <w:p w:rsidR="00EF60F6" w:rsidRPr="00EF60F6" w:rsidRDefault="00EF60F6" w:rsidP="00BA3ED3">
      <w:pPr>
        <w:contextualSpacing/>
        <w:rPr>
          <w:rFonts w:ascii="Courier New" w:hAnsi="Courier New" w:cs="Verdana"/>
          <w:sz w:val="24"/>
          <w:szCs w:val="24"/>
          <w:lang w:bidi="en-US"/>
        </w:rPr>
      </w:pPr>
    </w:p>
    <w:p w:rsidR="007B5686" w:rsidRDefault="007B5686" w:rsidP="00BA3ED3">
      <w:pPr>
        <w:rPr>
          <w:rFonts w:ascii="Courier New" w:hAnsi="Courier New"/>
          <w:sz w:val="24"/>
          <w:szCs w:val="24"/>
        </w:rPr>
      </w:pPr>
      <w:r>
        <w:rPr>
          <w:rFonts w:ascii="Courier New" w:hAnsi="Courier New"/>
          <w:sz w:val="24"/>
          <w:szCs w:val="24"/>
        </w:rPr>
        <w:t xml:space="preserve">Thank you for assisting Dr. Rivera in </w:t>
      </w:r>
      <w:r w:rsidR="003B2881">
        <w:rPr>
          <w:rFonts w:ascii="Courier New" w:hAnsi="Courier New"/>
          <w:sz w:val="24"/>
          <w:szCs w:val="24"/>
        </w:rPr>
        <w:t>developing his hypothesis regarding the effectiveness of fi</w:t>
      </w:r>
      <w:r w:rsidR="00EA0AD2">
        <w:rPr>
          <w:rFonts w:ascii="Courier New" w:hAnsi="Courier New"/>
          <w:sz w:val="24"/>
          <w:szCs w:val="24"/>
        </w:rPr>
        <w:t>daxomicin compared to vancomycin</w:t>
      </w:r>
      <w:r w:rsidR="003B2881">
        <w:rPr>
          <w:rFonts w:ascii="Courier New" w:hAnsi="Courier New"/>
          <w:sz w:val="24"/>
          <w:szCs w:val="24"/>
        </w:rPr>
        <w:t xml:space="preserve">. </w:t>
      </w:r>
      <w:r w:rsidR="00B86B8F">
        <w:rPr>
          <w:rFonts w:ascii="Courier New" w:hAnsi="Courier New"/>
          <w:sz w:val="24"/>
          <w:szCs w:val="24"/>
        </w:rPr>
        <w:t xml:space="preserve">To test this hypothesis, Dr. Rivera’s team members treated </w:t>
      </w:r>
      <w:r w:rsidR="005B2E11">
        <w:rPr>
          <w:rFonts w:ascii="Courier New" w:hAnsi="Courier New"/>
          <w:sz w:val="24"/>
          <w:szCs w:val="24"/>
        </w:rPr>
        <w:t>44</w:t>
      </w:r>
      <w:r w:rsidR="00B86B8F">
        <w:rPr>
          <w:rFonts w:ascii="Courier New" w:hAnsi="Courier New"/>
          <w:sz w:val="24"/>
          <w:szCs w:val="24"/>
        </w:rPr>
        <w:t xml:space="preserve"> patients with </w:t>
      </w:r>
      <w:r w:rsidR="00B86B8F" w:rsidRPr="00080E84">
        <w:rPr>
          <w:rFonts w:ascii="Courier New" w:hAnsi="Courier New"/>
          <w:i/>
          <w:sz w:val="24"/>
          <w:szCs w:val="24"/>
        </w:rPr>
        <w:t>C. difficile</w:t>
      </w:r>
      <w:r w:rsidR="00B86B8F">
        <w:rPr>
          <w:rFonts w:ascii="Courier New" w:hAnsi="Courier New"/>
          <w:sz w:val="24"/>
          <w:szCs w:val="24"/>
        </w:rPr>
        <w:t xml:space="preserve"> infections</w:t>
      </w:r>
      <w:r w:rsidR="007F6CC0">
        <w:rPr>
          <w:rFonts w:ascii="Courier New" w:hAnsi="Courier New"/>
          <w:sz w:val="24"/>
          <w:szCs w:val="24"/>
        </w:rPr>
        <w:t xml:space="preserve"> (CDI)</w:t>
      </w:r>
      <w:r w:rsidR="00B86B8F">
        <w:rPr>
          <w:rFonts w:ascii="Courier New" w:hAnsi="Courier New"/>
          <w:sz w:val="24"/>
          <w:szCs w:val="24"/>
        </w:rPr>
        <w:t xml:space="preserve"> with vancomycin, and </w:t>
      </w:r>
      <w:r w:rsidR="005B2E11">
        <w:rPr>
          <w:rFonts w:ascii="Courier New" w:hAnsi="Courier New"/>
          <w:sz w:val="24"/>
          <w:szCs w:val="24"/>
        </w:rPr>
        <w:t>44</w:t>
      </w:r>
      <w:r w:rsidR="00B86B8F">
        <w:rPr>
          <w:rFonts w:ascii="Courier New" w:hAnsi="Courier New"/>
          <w:sz w:val="24"/>
          <w:szCs w:val="24"/>
        </w:rPr>
        <w:t xml:space="preserve"> patients with f</w:t>
      </w:r>
      <w:r w:rsidR="00080E84">
        <w:rPr>
          <w:rFonts w:ascii="Courier New" w:hAnsi="Courier New"/>
          <w:sz w:val="24"/>
          <w:szCs w:val="24"/>
        </w:rPr>
        <w:t>idaxomicin</w:t>
      </w:r>
      <w:r w:rsidR="00D33587">
        <w:rPr>
          <w:rFonts w:ascii="Courier New" w:hAnsi="Courier New"/>
          <w:sz w:val="24"/>
          <w:szCs w:val="24"/>
        </w:rPr>
        <w:t>. The patients were not told which drug they received, and the team members who administered the drug did not know which drug was given to each patient.</w:t>
      </w:r>
      <w:r w:rsidR="00B86B8F">
        <w:rPr>
          <w:rFonts w:ascii="Courier New" w:hAnsi="Courier New"/>
          <w:sz w:val="24"/>
          <w:szCs w:val="24"/>
        </w:rPr>
        <w:t xml:space="preserve"> </w:t>
      </w:r>
      <w:r w:rsidR="00D33587">
        <w:rPr>
          <w:rFonts w:ascii="Courier New" w:hAnsi="Courier New"/>
          <w:sz w:val="24"/>
          <w:szCs w:val="24"/>
        </w:rPr>
        <w:t>This is referred to as a double-blind study.</w:t>
      </w:r>
      <w:r w:rsidR="00080E84">
        <w:rPr>
          <w:rFonts w:ascii="Courier New" w:hAnsi="Courier New"/>
          <w:sz w:val="24"/>
          <w:szCs w:val="24"/>
        </w:rPr>
        <w:t xml:space="preserve"> </w:t>
      </w:r>
      <w:r w:rsidR="00B86B8F">
        <w:rPr>
          <w:rFonts w:ascii="Courier New" w:hAnsi="Courier New"/>
          <w:sz w:val="24"/>
          <w:szCs w:val="24"/>
        </w:rPr>
        <w:t>Only Dr. Rivera knew which drug wa</w:t>
      </w:r>
      <w:r w:rsidR="00080E84">
        <w:rPr>
          <w:rFonts w:ascii="Courier New" w:hAnsi="Courier New"/>
          <w:sz w:val="24"/>
          <w:szCs w:val="24"/>
        </w:rPr>
        <w:t>s given to each set of patients</w:t>
      </w:r>
      <w:r w:rsidR="00B86B8F">
        <w:rPr>
          <w:rFonts w:ascii="Courier New" w:hAnsi="Courier New"/>
          <w:sz w:val="24"/>
          <w:szCs w:val="24"/>
        </w:rPr>
        <w:t xml:space="preserve">.  </w:t>
      </w:r>
    </w:p>
    <w:p w:rsidR="00095C15" w:rsidRDefault="00EF60F6" w:rsidP="00BA3ED3">
      <w:pPr>
        <w:rPr>
          <w:rFonts w:ascii="Courier New" w:hAnsi="Courier New" w:cs="Courier New"/>
          <w:sz w:val="24"/>
          <w:szCs w:val="24"/>
        </w:rPr>
      </w:pPr>
      <w:r>
        <w:rPr>
          <w:rFonts w:ascii="Courier New" w:hAnsi="Courier New" w:cs="Courier New"/>
          <w:sz w:val="24"/>
          <w:szCs w:val="24"/>
        </w:rPr>
        <w:t xml:space="preserve">Dr. Rivera and his team measured the amount of various bacterial species in the </w:t>
      </w:r>
      <w:r w:rsidR="00080E84">
        <w:rPr>
          <w:rFonts w:ascii="Courier New" w:hAnsi="Courier New" w:cs="Courier New"/>
          <w:sz w:val="24"/>
          <w:szCs w:val="24"/>
        </w:rPr>
        <w:t>fecal</w:t>
      </w:r>
      <w:r>
        <w:rPr>
          <w:rFonts w:ascii="Courier New" w:hAnsi="Courier New" w:cs="Courier New"/>
          <w:sz w:val="24"/>
          <w:szCs w:val="24"/>
        </w:rPr>
        <w:t xml:space="preserve"> samples of </w:t>
      </w:r>
      <w:r w:rsidR="005B2E11">
        <w:rPr>
          <w:rFonts w:ascii="Courier New" w:hAnsi="Courier New" w:cs="Courier New"/>
          <w:sz w:val="24"/>
          <w:szCs w:val="24"/>
        </w:rPr>
        <w:t>10 patients from each treatment group</w:t>
      </w:r>
      <w:r>
        <w:rPr>
          <w:rFonts w:ascii="Courier New" w:hAnsi="Courier New" w:cs="Courier New"/>
          <w:sz w:val="24"/>
          <w:szCs w:val="24"/>
        </w:rPr>
        <w:t xml:space="preserve"> in the clinical trial at CMW. </w:t>
      </w:r>
      <w:r w:rsidR="00095C15">
        <w:rPr>
          <w:rFonts w:ascii="Courier New" w:hAnsi="Courier New" w:cs="Courier New"/>
          <w:sz w:val="24"/>
          <w:szCs w:val="24"/>
        </w:rPr>
        <w:t xml:space="preserve">They began collecting fecal samples at </w:t>
      </w:r>
      <w:r w:rsidR="005B2E11">
        <w:rPr>
          <w:rFonts w:ascii="Courier New" w:hAnsi="Courier New" w:cs="Courier New"/>
          <w:sz w:val="24"/>
          <w:szCs w:val="24"/>
        </w:rPr>
        <w:t>study entry (</w:t>
      </w:r>
      <w:r w:rsidR="00586CC2">
        <w:rPr>
          <w:rFonts w:ascii="Courier New" w:hAnsi="Courier New" w:cs="Courier New"/>
          <w:sz w:val="24"/>
          <w:szCs w:val="24"/>
        </w:rPr>
        <w:t>d</w:t>
      </w:r>
      <w:r w:rsidR="00095C15">
        <w:rPr>
          <w:rFonts w:ascii="Courier New" w:hAnsi="Courier New" w:cs="Courier New"/>
          <w:sz w:val="24"/>
          <w:szCs w:val="24"/>
        </w:rPr>
        <w:t>ay 0</w:t>
      </w:r>
      <w:r w:rsidR="005B2E11">
        <w:rPr>
          <w:rFonts w:ascii="Courier New" w:hAnsi="Courier New" w:cs="Courier New"/>
          <w:sz w:val="24"/>
          <w:szCs w:val="24"/>
        </w:rPr>
        <w:t>)</w:t>
      </w:r>
      <w:r w:rsidR="00095C15">
        <w:rPr>
          <w:rFonts w:ascii="Courier New" w:hAnsi="Courier New" w:cs="Courier New"/>
          <w:sz w:val="24"/>
          <w:szCs w:val="24"/>
        </w:rPr>
        <w:t>, and then collected</w:t>
      </w:r>
      <w:r w:rsidR="007956E2">
        <w:rPr>
          <w:rFonts w:ascii="Courier New" w:hAnsi="Courier New" w:cs="Courier New"/>
          <w:sz w:val="24"/>
          <w:szCs w:val="24"/>
        </w:rPr>
        <w:t xml:space="preserve"> samples</w:t>
      </w:r>
      <w:r w:rsidR="00095C15">
        <w:rPr>
          <w:rFonts w:ascii="Courier New" w:hAnsi="Courier New" w:cs="Courier New"/>
          <w:sz w:val="24"/>
          <w:szCs w:val="24"/>
        </w:rPr>
        <w:t xml:space="preserve"> </w:t>
      </w:r>
      <w:r w:rsidR="0047537D">
        <w:rPr>
          <w:rFonts w:ascii="Courier New" w:hAnsi="Courier New" w:cs="Courier New"/>
          <w:sz w:val="24"/>
          <w:szCs w:val="24"/>
        </w:rPr>
        <w:t>on day</w:t>
      </w:r>
      <w:r w:rsidR="005B2E11">
        <w:rPr>
          <w:rFonts w:ascii="Courier New" w:hAnsi="Courier New" w:cs="Courier New"/>
          <w:sz w:val="24"/>
          <w:szCs w:val="24"/>
        </w:rPr>
        <w:t>s</w:t>
      </w:r>
      <w:r w:rsidR="0047537D">
        <w:rPr>
          <w:rFonts w:ascii="Courier New" w:hAnsi="Courier New" w:cs="Courier New"/>
          <w:sz w:val="24"/>
          <w:szCs w:val="24"/>
        </w:rPr>
        <w:t xml:space="preserve"> 4</w:t>
      </w:r>
      <w:r w:rsidR="005B2E11">
        <w:rPr>
          <w:rFonts w:ascii="Courier New" w:hAnsi="Courier New" w:cs="Courier New"/>
          <w:sz w:val="24"/>
          <w:szCs w:val="24"/>
        </w:rPr>
        <w:t>, 10, 14, 21, 28, and 42.</w:t>
      </w:r>
      <w:r w:rsidR="0047537D">
        <w:rPr>
          <w:rFonts w:ascii="Courier New" w:hAnsi="Courier New" w:cs="Courier New"/>
          <w:sz w:val="24"/>
          <w:szCs w:val="24"/>
        </w:rPr>
        <w:t xml:space="preserve"> </w:t>
      </w:r>
      <w:r w:rsidR="00586CC2">
        <w:rPr>
          <w:rFonts w:ascii="Courier New" w:hAnsi="Courier New" w:cs="Courier New"/>
          <w:sz w:val="24"/>
          <w:szCs w:val="24"/>
        </w:rPr>
        <w:t xml:space="preserve">The patients received </w:t>
      </w:r>
      <w:r w:rsidR="00596B46">
        <w:rPr>
          <w:rFonts w:ascii="Courier New" w:hAnsi="Courier New" w:cs="Courier New"/>
          <w:sz w:val="24"/>
          <w:szCs w:val="24"/>
        </w:rPr>
        <w:t xml:space="preserve">antibiotic treatment for </w:t>
      </w:r>
      <w:r w:rsidR="00586CC2">
        <w:rPr>
          <w:rFonts w:ascii="Courier New" w:hAnsi="Courier New" w:cs="Courier New"/>
          <w:sz w:val="24"/>
          <w:szCs w:val="24"/>
        </w:rPr>
        <w:t>days 1-10</w:t>
      </w:r>
      <w:r w:rsidR="00596B46">
        <w:rPr>
          <w:rFonts w:ascii="Courier New" w:hAnsi="Courier New" w:cs="Courier New"/>
          <w:sz w:val="24"/>
          <w:szCs w:val="24"/>
        </w:rPr>
        <w:t xml:space="preserve"> of the study.</w:t>
      </w:r>
    </w:p>
    <w:p w:rsidR="007B5686" w:rsidRPr="00EF60F6" w:rsidRDefault="00AB3AF4" w:rsidP="00BA3ED3">
      <w:pPr>
        <w:rPr>
          <w:rFonts w:ascii="Courier New" w:hAnsi="Courier New" w:cs="Courier New"/>
          <w:sz w:val="24"/>
          <w:szCs w:val="24"/>
        </w:rPr>
      </w:pPr>
      <w:r>
        <w:rPr>
          <w:rFonts w:ascii="Courier New" w:hAnsi="Courier New" w:cs="Courier New"/>
          <w:sz w:val="24"/>
          <w:szCs w:val="24"/>
        </w:rPr>
        <w:t xml:space="preserve">In order to accurately calculate how much of a certain bacterial species was present in the stool sample, </w:t>
      </w:r>
      <w:r w:rsidR="00680B7C">
        <w:rPr>
          <w:rFonts w:ascii="Courier New" w:hAnsi="Courier New" w:cs="Courier New"/>
          <w:sz w:val="24"/>
          <w:szCs w:val="24"/>
        </w:rPr>
        <w:t xml:space="preserve">they </w:t>
      </w:r>
      <w:r>
        <w:rPr>
          <w:rFonts w:ascii="Courier New" w:hAnsi="Courier New" w:cs="Courier New"/>
          <w:sz w:val="24"/>
          <w:szCs w:val="24"/>
        </w:rPr>
        <w:t xml:space="preserve">measured the amount of </w:t>
      </w:r>
      <w:r w:rsidR="002C5359">
        <w:rPr>
          <w:rFonts w:ascii="Courier New" w:hAnsi="Courier New" w:cs="Courier New"/>
          <w:sz w:val="24"/>
          <w:szCs w:val="24"/>
        </w:rPr>
        <w:t>DNA</w:t>
      </w:r>
      <w:r>
        <w:rPr>
          <w:rFonts w:ascii="Courier New" w:hAnsi="Courier New" w:cs="Courier New"/>
          <w:sz w:val="24"/>
          <w:szCs w:val="24"/>
        </w:rPr>
        <w:t xml:space="preserve"> present in the sample. Each bacterial species has a unique </w:t>
      </w:r>
      <w:r w:rsidR="002C5359">
        <w:rPr>
          <w:rFonts w:ascii="Courier New" w:hAnsi="Courier New" w:cs="Courier New"/>
          <w:sz w:val="24"/>
          <w:szCs w:val="24"/>
        </w:rPr>
        <w:t>DNA</w:t>
      </w:r>
      <w:r>
        <w:rPr>
          <w:rFonts w:ascii="Courier New" w:hAnsi="Courier New" w:cs="Courier New"/>
          <w:sz w:val="24"/>
          <w:szCs w:val="24"/>
        </w:rPr>
        <w:t xml:space="preserve"> sequence that can be amplified and then quantified using the polymerase chain reaction (PCR) technique.  To review this process, see the “</w:t>
      </w:r>
      <w:r w:rsidR="00F044B7">
        <w:rPr>
          <w:rFonts w:ascii="Courier New" w:hAnsi="Courier New" w:cs="Courier New"/>
          <w:sz w:val="24"/>
          <w:szCs w:val="24"/>
        </w:rPr>
        <w:t>PCR and DNA Sequencing</w:t>
      </w:r>
      <w:r>
        <w:rPr>
          <w:rFonts w:ascii="Courier New" w:hAnsi="Courier New" w:cs="Courier New"/>
          <w:sz w:val="24"/>
          <w:szCs w:val="24"/>
        </w:rPr>
        <w:t xml:space="preserve">” hospital resource.  </w:t>
      </w:r>
    </w:p>
    <w:p w:rsidR="002C5359" w:rsidRDefault="002C5359" w:rsidP="00BA3ED3">
      <w:pPr>
        <w:rPr>
          <w:rFonts w:ascii="Courier New" w:hAnsi="Courier New" w:cs="Courier New"/>
          <w:sz w:val="24"/>
          <w:szCs w:val="24"/>
        </w:rPr>
      </w:pPr>
      <w:r>
        <w:rPr>
          <w:rFonts w:ascii="Courier New" w:hAnsi="Courier New" w:cs="Courier New"/>
          <w:sz w:val="24"/>
          <w:szCs w:val="24"/>
        </w:rPr>
        <w:t xml:space="preserve">Once the individual bacterial species’ DNA amount was calculated, Dr. Rivera and his team converted the amount of DNA found in each gram of fecal matter to colony forming units per gram of fecal matter (CFU/g). This unit is the standard unit </w:t>
      </w:r>
      <w:r w:rsidR="00EE1B00">
        <w:rPr>
          <w:rFonts w:ascii="Courier New" w:hAnsi="Courier New" w:cs="Courier New"/>
          <w:sz w:val="24"/>
          <w:szCs w:val="24"/>
        </w:rPr>
        <w:t>for</w:t>
      </w:r>
      <w:r>
        <w:rPr>
          <w:rFonts w:ascii="Courier New" w:hAnsi="Courier New" w:cs="Courier New"/>
          <w:sz w:val="24"/>
          <w:szCs w:val="24"/>
        </w:rPr>
        <w:t xml:space="preserve"> measuring the amount of microbes found in a gram of various types of samples</w:t>
      </w:r>
      <w:r w:rsidR="007956E2">
        <w:rPr>
          <w:rFonts w:ascii="Courier New" w:hAnsi="Courier New" w:cs="Courier New"/>
          <w:sz w:val="24"/>
          <w:szCs w:val="24"/>
        </w:rPr>
        <w:t xml:space="preserve"> (in this case a fecal sample</w:t>
      </w:r>
      <w:r w:rsidR="003E590E">
        <w:rPr>
          <w:rFonts w:ascii="Courier New" w:hAnsi="Courier New" w:cs="Courier New"/>
          <w:sz w:val="24"/>
          <w:szCs w:val="24"/>
        </w:rPr>
        <w:t>)</w:t>
      </w:r>
      <w:r w:rsidR="0047537D">
        <w:rPr>
          <w:rFonts w:ascii="Courier New" w:hAnsi="Courier New" w:cs="Courier New"/>
          <w:sz w:val="24"/>
          <w:szCs w:val="24"/>
        </w:rPr>
        <w:t>.</w:t>
      </w:r>
    </w:p>
    <w:p w:rsidR="0099302F" w:rsidRDefault="00EF60F6" w:rsidP="00BA3ED3">
      <w:pPr>
        <w:rPr>
          <w:rFonts w:ascii="Courier New" w:hAnsi="Courier New" w:cs="Courier New"/>
          <w:sz w:val="24"/>
          <w:szCs w:val="24"/>
        </w:rPr>
      </w:pPr>
      <w:r w:rsidRPr="00EF60F6">
        <w:rPr>
          <w:rFonts w:ascii="Courier New" w:hAnsi="Courier New" w:cs="Courier New"/>
          <w:sz w:val="24"/>
          <w:szCs w:val="24"/>
        </w:rPr>
        <w:lastRenderedPageBreak/>
        <w:t>Dr. Rivera would like your help in analyzing and</w:t>
      </w:r>
      <w:r w:rsidR="002C5359">
        <w:rPr>
          <w:rFonts w:ascii="Courier New" w:hAnsi="Courier New" w:cs="Courier New"/>
          <w:sz w:val="24"/>
          <w:szCs w:val="24"/>
        </w:rPr>
        <w:t xml:space="preserve"> interpreting the data he collected. </w:t>
      </w:r>
      <w:r w:rsidR="0071376E">
        <w:rPr>
          <w:rFonts w:ascii="Courier New" w:hAnsi="Courier New" w:cs="Courier New"/>
          <w:sz w:val="24"/>
          <w:szCs w:val="24"/>
        </w:rPr>
        <w:t>The first graph</w:t>
      </w:r>
      <w:r w:rsidR="007952C7">
        <w:rPr>
          <w:rFonts w:ascii="Courier New" w:hAnsi="Courier New" w:cs="Courier New"/>
          <w:sz w:val="24"/>
          <w:szCs w:val="24"/>
        </w:rPr>
        <w:t xml:space="preserve"> (Figure 1)</w:t>
      </w:r>
      <w:r w:rsidR="0071376E">
        <w:rPr>
          <w:rFonts w:ascii="Courier New" w:hAnsi="Courier New" w:cs="Courier New"/>
          <w:sz w:val="24"/>
          <w:szCs w:val="24"/>
        </w:rPr>
        <w:t xml:space="preserve"> compares the </w:t>
      </w:r>
      <w:r w:rsidR="0099302F">
        <w:rPr>
          <w:rFonts w:ascii="Courier New" w:hAnsi="Courier New" w:cs="Courier New"/>
          <w:sz w:val="24"/>
          <w:szCs w:val="24"/>
        </w:rPr>
        <w:t>counts</w:t>
      </w:r>
      <w:r w:rsidR="0071376E">
        <w:rPr>
          <w:rFonts w:ascii="Courier New" w:hAnsi="Courier New" w:cs="Courier New"/>
          <w:sz w:val="24"/>
          <w:szCs w:val="24"/>
        </w:rPr>
        <w:t xml:space="preserve"> of </w:t>
      </w:r>
      <w:r w:rsidR="0071376E">
        <w:rPr>
          <w:rFonts w:ascii="Courier New" w:hAnsi="Courier New" w:cs="Courier New"/>
          <w:i/>
          <w:sz w:val="24"/>
          <w:szCs w:val="24"/>
        </w:rPr>
        <w:t xml:space="preserve">C.difficile </w:t>
      </w:r>
      <w:r w:rsidR="0071376E">
        <w:rPr>
          <w:rFonts w:ascii="Courier New" w:hAnsi="Courier New" w:cs="Courier New"/>
          <w:sz w:val="24"/>
          <w:szCs w:val="24"/>
        </w:rPr>
        <w:t>before the patients received a</w:t>
      </w:r>
      <w:r w:rsidR="00EE1B00">
        <w:rPr>
          <w:rFonts w:ascii="Courier New" w:hAnsi="Courier New" w:cs="Courier New"/>
          <w:sz w:val="24"/>
          <w:szCs w:val="24"/>
        </w:rPr>
        <w:t xml:space="preserve">ntibiotics, while they took </w:t>
      </w:r>
      <w:r w:rsidR="0071376E">
        <w:rPr>
          <w:rFonts w:ascii="Courier New" w:hAnsi="Courier New" w:cs="Courier New"/>
          <w:sz w:val="24"/>
          <w:szCs w:val="24"/>
        </w:rPr>
        <w:t>antibiotics</w:t>
      </w:r>
      <w:r w:rsidR="007952C7">
        <w:rPr>
          <w:rFonts w:ascii="Courier New" w:hAnsi="Courier New" w:cs="Courier New"/>
          <w:sz w:val="24"/>
          <w:szCs w:val="24"/>
        </w:rPr>
        <w:t>,</w:t>
      </w:r>
      <w:r w:rsidR="0071376E">
        <w:rPr>
          <w:rFonts w:ascii="Courier New" w:hAnsi="Courier New" w:cs="Courier New"/>
          <w:sz w:val="24"/>
          <w:szCs w:val="24"/>
        </w:rPr>
        <w:t xml:space="preserve"> and after</w:t>
      </w:r>
      <w:r w:rsidR="00EE1B00">
        <w:rPr>
          <w:rFonts w:ascii="Courier New" w:hAnsi="Courier New" w:cs="Courier New"/>
          <w:sz w:val="24"/>
          <w:szCs w:val="24"/>
        </w:rPr>
        <w:t xml:space="preserve"> they stopped taking </w:t>
      </w:r>
      <w:r w:rsidR="0071376E">
        <w:rPr>
          <w:rFonts w:ascii="Courier New" w:hAnsi="Courier New" w:cs="Courier New"/>
          <w:sz w:val="24"/>
          <w:szCs w:val="24"/>
        </w:rPr>
        <w:t xml:space="preserve">antibiotics for both vancomycin and fidaxomicin. </w:t>
      </w:r>
    </w:p>
    <w:p w:rsidR="0099302F" w:rsidRPr="00E33D2A" w:rsidRDefault="007952C7" w:rsidP="00BA3ED3">
      <w:pPr>
        <w:rPr>
          <w:rFonts w:ascii="Courier New" w:hAnsi="Courier New" w:cs="Courier New"/>
          <w:sz w:val="24"/>
          <w:szCs w:val="24"/>
        </w:rPr>
      </w:pPr>
      <w:r>
        <w:rPr>
          <w:rFonts w:ascii="Courier New" w:hAnsi="Courier New" w:cs="Courier New"/>
          <w:sz w:val="24"/>
          <w:szCs w:val="24"/>
        </w:rPr>
        <w:t>Figures</w:t>
      </w:r>
      <w:r w:rsidR="0071376E">
        <w:rPr>
          <w:rFonts w:ascii="Courier New" w:hAnsi="Courier New" w:cs="Courier New"/>
          <w:sz w:val="24"/>
          <w:szCs w:val="24"/>
        </w:rPr>
        <w:t xml:space="preserve"> 2</w:t>
      </w:r>
      <w:r w:rsidR="0099302F">
        <w:rPr>
          <w:rFonts w:ascii="Courier New" w:hAnsi="Courier New" w:cs="Courier New"/>
          <w:sz w:val="24"/>
          <w:szCs w:val="24"/>
        </w:rPr>
        <w:t>-5</w:t>
      </w:r>
      <w:r w:rsidR="0071376E">
        <w:rPr>
          <w:rFonts w:ascii="Courier New" w:hAnsi="Courier New" w:cs="Courier New"/>
          <w:sz w:val="24"/>
          <w:szCs w:val="24"/>
        </w:rPr>
        <w:t xml:space="preserve"> </w:t>
      </w:r>
      <w:r w:rsidR="0099302F">
        <w:rPr>
          <w:rFonts w:ascii="Courier New" w:hAnsi="Courier New" w:cs="Courier New"/>
          <w:sz w:val="24"/>
          <w:szCs w:val="24"/>
        </w:rPr>
        <w:t>show</w:t>
      </w:r>
      <w:r w:rsidR="0071376E">
        <w:rPr>
          <w:rFonts w:ascii="Courier New" w:hAnsi="Courier New" w:cs="Courier New"/>
          <w:sz w:val="24"/>
          <w:szCs w:val="24"/>
        </w:rPr>
        <w:t xml:space="preserve"> the </w:t>
      </w:r>
      <w:r w:rsidR="0099302F">
        <w:rPr>
          <w:rFonts w:ascii="Courier New" w:hAnsi="Courier New" w:cs="Courier New"/>
          <w:sz w:val="24"/>
          <w:szCs w:val="24"/>
        </w:rPr>
        <w:t>counts</w:t>
      </w:r>
      <w:r w:rsidR="0071376E">
        <w:rPr>
          <w:rFonts w:ascii="Courier New" w:hAnsi="Courier New" w:cs="Courier New"/>
          <w:sz w:val="24"/>
          <w:szCs w:val="24"/>
        </w:rPr>
        <w:t xml:space="preserve"> of</w:t>
      </w:r>
      <w:r w:rsidR="0099302F">
        <w:rPr>
          <w:rFonts w:ascii="Courier New" w:hAnsi="Courier New" w:cs="Courier New"/>
          <w:sz w:val="24"/>
          <w:szCs w:val="24"/>
        </w:rPr>
        <w:t xml:space="preserve"> each of</w:t>
      </w:r>
      <w:r w:rsidR="0071376E">
        <w:rPr>
          <w:rFonts w:ascii="Courier New" w:hAnsi="Courier New" w:cs="Courier New"/>
          <w:sz w:val="24"/>
          <w:szCs w:val="24"/>
        </w:rPr>
        <w:t xml:space="preserve"> </w:t>
      </w:r>
      <w:r w:rsidR="0099302F">
        <w:rPr>
          <w:rFonts w:ascii="Courier New" w:hAnsi="Courier New" w:cs="Courier New"/>
          <w:sz w:val="24"/>
          <w:szCs w:val="24"/>
        </w:rPr>
        <w:t>the commensal</w:t>
      </w:r>
      <w:r w:rsidR="0071376E">
        <w:rPr>
          <w:rFonts w:ascii="Courier New" w:hAnsi="Courier New" w:cs="Courier New"/>
          <w:sz w:val="24"/>
          <w:szCs w:val="24"/>
        </w:rPr>
        <w:t xml:space="preserve"> </w:t>
      </w:r>
      <w:r w:rsidR="0099302F">
        <w:rPr>
          <w:rFonts w:ascii="Courier New" w:hAnsi="Courier New" w:cs="Courier New"/>
          <w:sz w:val="24"/>
          <w:szCs w:val="24"/>
        </w:rPr>
        <w:t>microbes</w:t>
      </w:r>
      <w:r>
        <w:rPr>
          <w:rFonts w:ascii="Courier New" w:hAnsi="Courier New" w:cs="Courier New"/>
          <w:sz w:val="24"/>
          <w:szCs w:val="24"/>
        </w:rPr>
        <w:t xml:space="preserve"> </w:t>
      </w:r>
      <w:r w:rsidR="0099302F">
        <w:rPr>
          <w:rFonts w:ascii="Courier New" w:hAnsi="Courier New" w:cs="Courier New"/>
          <w:sz w:val="24"/>
          <w:szCs w:val="24"/>
        </w:rPr>
        <w:t xml:space="preserve">that were measured </w:t>
      </w:r>
      <w:r w:rsidR="00F36485">
        <w:rPr>
          <w:rFonts w:ascii="Courier New" w:hAnsi="Courier New" w:cs="Courier New"/>
          <w:sz w:val="24"/>
          <w:szCs w:val="24"/>
        </w:rPr>
        <w:t>in 10 patients of each treatment group (each point on the graph indicates the average of the 10)</w:t>
      </w:r>
      <w:r>
        <w:rPr>
          <w:rFonts w:ascii="Courier New" w:hAnsi="Courier New" w:cs="Courier New"/>
          <w:sz w:val="24"/>
          <w:szCs w:val="24"/>
        </w:rPr>
        <w:t xml:space="preserve">. </w:t>
      </w:r>
      <w:r w:rsidR="0071376E">
        <w:rPr>
          <w:rFonts w:ascii="Courier New" w:hAnsi="Courier New" w:cs="Courier New"/>
          <w:sz w:val="24"/>
          <w:szCs w:val="24"/>
        </w:rPr>
        <w:t>These</w:t>
      </w:r>
      <w:r w:rsidR="00FD587F">
        <w:rPr>
          <w:rFonts w:ascii="Courier New" w:hAnsi="Courier New" w:cs="Courier New"/>
          <w:sz w:val="24"/>
          <w:szCs w:val="24"/>
        </w:rPr>
        <w:t xml:space="preserve"> </w:t>
      </w:r>
      <w:r w:rsidR="0099302F">
        <w:rPr>
          <w:rFonts w:ascii="Courier New" w:hAnsi="Courier New" w:cs="Courier New"/>
          <w:sz w:val="24"/>
          <w:szCs w:val="24"/>
        </w:rPr>
        <w:t xml:space="preserve">commensal microbes </w:t>
      </w:r>
      <w:r w:rsidR="0071376E">
        <w:rPr>
          <w:rFonts w:ascii="Courier New" w:hAnsi="Courier New" w:cs="Courier New"/>
          <w:sz w:val="24"/>
          <w:szCs w:val="24"/>
        </w:rPr>
        <w:t>are found in healthy individuals and it is hypothesized that they help digest food and prote</w:t>
      </w:r>
      <w:r w:rsidR="0099302F">
        <w:rPr>
          <w:rFonts w:ascii="Courier New" w:hAnsi="Courier New" w:cs="Courier New"/>
          <w:sz w:val="24"/>
          <w:szCs w:val="24"/>
        </w:rPr>
        <w:t xml:space="preserve">ct against pathogenic microbes. </w:t>
      </w:r>
      <w:r w:rsidR="00F36485">
        <w:rPr>
          <w:rFonts w:ascii="Courier New" w:hAnsi="Courier New" w:cs="Courier New"/>
          <w:sz w:val="24"/>
          <w:szCs w:val="24"/>
        </w:rPr>
        <w:t xml:space="preserve">Each of the Figures 2-5 also indicate the average count of these microbes as measured in 10 healthy </w:t>
      </w:r>
      <w:r w:rsidR="00F36485" w:rsidRPr="00E33D2A">
        <w:rPr>
          <w:rFonts w:ascii="Courier New" w:hAnsi="Courier New" w:cs="Courier New"/>
          <w:sz w:val="24"/>
          <w:szCs w:val="24"/>
        </w:rPr>
        <w:t>individuals.</w:t>
      </w:r>
    </w:p>
    <w:p w:rsidR="0099302F" w:rsidRPr="00E33D2A" w:rsidRDefault="00ED714C" w:rsidP="00BA3ED3">
      <w:pPr>
        <w:rPr>
          <w:rFonts w:ascii="Courier New" w:hAnsi="Courier New" w:cs="Courier New"/>
          <w:sz w:val="24"/>
          <w:szCs w:val="24"/>
        </w:rPr>
      </w:pPr>
      <w:r w:rsidRPr="00E33D2A">
        <w:rPr>
          <w:rFonts w:ascii="Courier New" w:hAnsi="Courier New" w:cs="Courier New"/>
          <w:sz w:val="24"/>
          <w:szCs w:val="24"/>
        </w:rPr>
        <w:t xml:space="preserve">Figure 6 </w:t>
      </w:r>
      <w:r w:rsidR="00E33D2A" w:rsidRPr="00E33D2A">
        <w:rPr>
          <w:rFonts w:ascii="Courier New" w:hAnsi="Courier New" w:cs="Courier New"/>
          <w:sz w:val="24"/>
          <w:szCs w:val="24"/>
        </w:rPr>
        <w:t xml:space="preserve">shows the </w:t>
      </w:r>
      <w:r w:rsidR="00E33D2A">
        <w:rPr>
          <w:rFonts w:ascii="Courier New" w:hAnsi="Courier New" w:cs="Courier New"/>
          <w:sz w:val="24"/>
          <w:szCs w:val="24"/>
        </w:rPr>
        <w:t>number of patients out of the total 44 in each treatment group that experienced sustained cure or recurrence of CDI.</w:t>
      </w:r>
      <w:r w:rsidR="00493F64">
        <w:rPr>
          <w:rFonts w:ascii="Courier New" w:hAnsi="Courier New" w:cs="Courier New"/>
          <w:sz w:val="24"/>
          <w:szCs w:val="24"/>
        </w:rPr>
        <w:t xml:space="preserve"> Remember, high recurrence rates were one of the known problems with the </w:t>
      </w:r>
      <w:r w:rsidR="007F6CC0">
        <w:rPr>
          <w:rFonts w:ascii="Courier New" w:hAnsi="Courier New" w:cs="Courier New"/>
          <w:sz w:val="24"/>
          <w:szCs w:val="24"/>
        </w:rPr>
        <w:t>v</w:t>
      </w:r>
      <w:r w:rsidR="00493F64">
        <w:rPr>
          <w:rFonts w:ascii="Courier New" w:hAnsi="Courier New" w:cs="Courier New"/>
          <w:sz w:val="24"/>
          <w:szCs w:val="24"/>
        </w:rPr>
        <w:t>ancomycin antibiotic.</w:t>
      </w:r>
    </w:p>
    <w:p w:rsidR="0047537D" w:rsidRDefault="0099302F" w:rsidP="00BA3ED3">
      <w:pPr>
        <w:rPr>
          <w:rFonts w:ascii="Courier New" w:hAnsi="Courier New" w:cs="Courier New"/>
          <w:sz w:val="24"/>
          <w:szCs w:val="24"/>
        </w:rPr>
      </w:pPr>
      <w:r>
        <w:rPr>
          <w:rFonts w:ascii="Courier New" w:hAnsi="Courier New" w:cs="Courier New"/>
          <w:sz w:val="24"/>
          <w:szCs w:val="24"/>
        </w:rPr>
        <w:t>Analyze and interpret the data shown in</w:t>
      </w:r>
      <w:r w:rsidR="002C5359">
        <w:rPr>
          <w:rFonts w:ascii="Courier New" w:hAnsi="Courier New" w:cs="Courier New"/>
          <w:sz w:val="24"/>
          <w:szCs w:val="24"/>
        </w:rPr>
        <w:t xml:space="preserve"> the</w:t>
      </w:r>
      <w:r w:rsidR="00FD587F">
        <w:rPr>
          <w:rFonts w:ascii="Courier New" w:hAnsi="Courier New" w:cs="Courier New"/>
          <w:sz w:val="24"/>
          <w:szCs w:val="24"/>
        </w:rPr>
        <w:t>se</w:t>
      </w:r>
      <w:r w:rsidR="002C5359">
        <w:rPr>
          <w:rFonts w:ascii="Courier New" w:hAnsi="Courier New" w:cs="Courier New"/>
          <w:sz w:val="24"/>
          <w:szCs w:val="24"/>
        </w:rPr>
        <w:t xml:space="preserve"> graphs</w:t>
      </w:r>
      <w:r>
        <w:rPr>
          <w:rFonts w:ascii="Courier New" w:hAnsi="Courier New" w:cs="Courier New"/>
          <w:sz w:val="24"/>
          <w:szCs w:val="24"/>
        </w:rPr>
        <w:t xml:space="preserve"> created by </w:t>
      </w:r>
      <w:r w:rsidR="0071376E">
        <w:rPr>
          <w:rFonts w:ascii="Courier New" w:hAnsi="Courier New" w:cs="Courier New"/>
          <w:sz w:val="24"/>
          <w:szCs w:val="24"/>
        </w:rPr>
        <w:t>Dr. Rivera</w:t>
      </w:r>
      <w:r w:rsidR="002C5359">
        <w:rPr>
          <w:rFonts w:ascii="Courier New" w:hAnsi="Courier New" w:cs="Courier New"/>
          <w:sz w:val="24"/>
          <w:szCs w:val="24"/>
        </w:rPr>
        <w:t xml:space="preserve"> and his team</w:t>
      </w:r>
      <w:r>
        <w:rPr>
          <w:rFonts w:ascii="Courier New" w:hAnsi="Courier New" w:cs="Courier New"/>
          <w:sz w:val="24"/>
          <w:szCs w:val="24"/>
        </w:rPr>
        <w:t>. H</w:t>
      </w:r>
      <w:r w:rsidR="002C5359">
        <w:rPr>
          <w:rFonts w:ascii="Courier New" w:hAnsi="Courier New" w:cs="Courier New"/>
          <w:sz w:val="24"/>
          <w:szCs w:val="24"/>
        </w:rPr>
        <w:t>elp him draw conclusions on the effectiveness of fidaxomicin compared to vancomycin</w:t>
      </w:r>
      <w:r w:rsidR="00FD587F">
        <w:rPr>
          <w:rFonts w:ascii="Courier New" w:hAnsi="Courier New" w:cs="Courier New"/>
          <w:sz w:val="24"/>
          <w:szCs w:val="24"/>
        </w:rPr>
        <w:t xml:space="preserve"> in treating the </w:t>
      </w:r>
      <w:r w:rsidR="00FD587F">
        <w:rPr>
          <w:rFonts w:ascii="Courier New" w:hAnsi="Courier New" w:cs="Courier New"/>
          <w:i/>
          <w:sz w:val="24"/>
          <w:szCs w:val="24"/>
        </w:rPr>
        <w:t xml:space="preserve">C.difficile </w:t>
      </w:r>
      <w:r w:rsidR="00FD587F">
        <w:rPr>
          <w:rFonts w:ascii="Courier New" w:hAnsi="Courier New" w:cs="Courier New"/>
          <w:sz w:val="24"/>
          <w:szCs w:val="24"/>
        </w:rPr>
        <w:t>infection</w:t>
      </w:r>
      <w:r w:rsidR="002C5359">
        <w:rPr>
          <w:rFonts w:ascii="Courier New" w:hAnsi="Courier New" w:cs="Courier New"/>
          <w:sz w:val="24"/>
          <w:szCs w:val="24"/>
        </w:rPr>
        <w:t xml:space="preserve">. </w:t>
      </w:r>
    </w:p>
    <w:p w:rsidR="0047537D" w:rsidRDefault="0047537D" w:rsidP="0047537D">
      <w:pPr>
        <w:rPr>
          <w:rFonts w:ascii="Courier New" w:hAnsi="Courier New" w:cs="Courier New"/>
          <w:sz w:val="24"/>
          <w:szCs w:val="24"/>
        </w:rPr>
      </w:pPr>
      <w:r>
        <w:rPr>
          <w:rFonts w:ascii="Courier New" w:hAnsi="Courier New" w:cs="Courier New"/>
          <w:sz w:val="24"/>
          <w:szCs w:val="24"/>
        </w:rPr>
        <w:t>Note: Because microbes grow in an exponential way (1 becomes 2, 2 become 4, 4 become 8…) the researchers graphed the CFUs on a log10 scale.  This means that a mark at 6 really means that there were 10^6 CFUs or 1,000,000 CFUs. A mark at 5 means that the</w:t>
      </w:r>
      <w:r w:rsidR="001A73EB">
        <w:rPr>
          <w:rFonts w:ascii="Courier New" w:hAnsi="Courier New" w:cs="Courier New"/>
          <w:sz w:val="24"/>
          <w:szCs w:val="24"/>
        </w:rPr>
        <w:t>re were 10^5 CFUs or 100,000 CFU</w:t>
      </w:r>
      <w:r>
        <w:rPr>
          <w:rFonts w:ascii="Courier New" w:hAnsi="Courier New" w:cs="Courier New"/>
          <w:sz w:val="24"/>
          <w:szCs w:val="24"/>
        </w:rPr>
        <w:t xml:space="preserve">s, that’s a big difference! Keep the scale in mind when you are interpreting the graphs.  </w:t>
      </w:r>
    </w:p>
    <w:p w:rsidR="00BA3ED3" w:rsidRDefault="00E8756E" w:rsidP="00BA3ED3">
      <w:pPr>
        <w:rPr>
          <w:rFonts w:asciiTheme="majorHAnsi" w:hAnsiTheme="majorHAnsi" w:cs="Courier New"/>
          <w:sz w:val="20"/>
          <w:szCs w:val="20"/>
        </w:rPr>
      </w:pPr>
      <w:r w:rsidRPr="00220D1F">
        <w:rPr>
          <w:rFonts w:asciiTheme="majorHAnsi" w:hAnsiTheme="majorHAnsi" w:cs="Courier New"/>
          <w:sz w:val="20"/>
          <w:szCs w:val="20"/>
        </w:rPr>
        <w:t xml:space="preserve">Data presented is based on the following scientific publication: Louie T.J., Cannon K., Byrne B., Emery J., Ward L., Eyben M., Krulicki W. (2012). Fidaxomicin preserves the intestinal microbiome during and after treatment of </w:t>
      </w:r>
      <w:r w:rsidRPr="008A317A">
        <w:rPr>
          <w:rFonts w:asciiTheme="majorHAnsi" w:hAnsiTheme="majorHAnsi" w:cs="Courier New"/>
          <w:i/>
          <w:sz w:val="20"/>
          <w:szCs w:val="20"/>
        </w:rPr>
        <w:t>Clostridium difficile</w:t>
      </w:r>
      <w:r w:rsidRPr="00220D1F">
        <w:rPr>
          <w:rFonts w:asciiTheme="majorHAnsi" w:hAnsiTheme="majorHAnsi" w:cs="Courier New"/>
          <w:sz w:val="20"/>
          <w:szCs w:val="20"/>
        </w:rPr>
        <w:t xml:space="preserve"> infection (CDI) and reduces both toxin reexpression and recurrence of CDI. </w:t>
      </w:r>
      <w:r w:rsidRPr="00220D1F">
        <w:rPr>
          <w:rFonts w:asciiTheme="majorHAnsi" w:hAnsiTheme="majorHAnsi" w:cs="Courier New"/>
          <w:i/>
          <w:sz w:val="20"/>
          <w:szCs w:val="20"/>
        </w:rPr>
        <w:t>Clin</w:t>
      </w:r>
      <w:r w:rsidR="00220D1F" w:rsidRPr="00220D1F">
        <w:rPr>
          <w:rFonts w:asciiTheme="majorHAnsi" w:hAnsiTheme="majorHAnsi" w:cs="Courier New"/>
          <w:i/>
          <w:sz w:val="20"/>
          <w:szCs w:val="20"/>
        </w:rPr>
        <w:t>ical</w:t>
      </w:r>
      <w:r w:rsidRPr="00220D1F">
        <w:rPr>
          <w:rFonts w:asciiTheme="majorHAnsi" w:hAnsiTheme="majorHAnsi" w:cs="Courier New"/>
          <w:i/>
          <w:sz w:val="20"/>
          <w:szCs w:val="20"/>
        </w:rPr>
        <w:t xml:space="preserve"> Infect</w:t>
      </w:r>
      <w:r w:rsidR="00220D1F" w:rsidRPr="00220D1F">
        <w:rPr>
          <w:rFonts w:asciiTheme="majorHAnsi" w:hAnsiTheme="majorHAnsi" w:cs="Courier New"/>
          <w:i/>
          <w:sz w:val="20"/>
          <w:szCs w:val="20"/>
        </w:rPr>
        <w:t>ious</w:t>
      </w:r>
      <w:r w:rsidRPr="00220D1F">
        <w:rPr>
          <w:rFonts w:asciiTheme="majorHAnsi" w:hAnsiTheme="majorHAnsi" w:cs="Courier New"/>
          <w:i/>
          <w:sz w:val="20"/>
          <w:szCs w:val="20"/>
        </w:rPr>
        <w:t xml:space="preserve"> Dis</w:t>
      </w:r>
      <w:r w:rsidR="00220D1F" w:rsidRPr="00220D1F">
        <w:rPr>
          <w:rFonts w:asciiTheme="majorHAnsi" w:hAnsiTheme="majorHAnsi" w:cs="Courier New"/>
          <w:i/>
          <w:sz w:val="20"/>
          <w:szCs w:val="20"/>
        </w:rPr>
        <w:t>eases</w:t>
      </w:r>
      <w:r w:rsidR="008A317A">
        <w:rPr>
          <w:rFonts w:asciiTheme="majorHAnsi" w:hAnsiTheme="majorHAnsi" w:cs="Courier New"/>
          <w:i/>
          <w:sz w:val="20"/>
          <w:szCs w:val="20"/>
        </w:rPr>
        <w:t>,</w:t>
      </w:r>
      <w:r w:rsidR="00220D1F" w:rsidRPr="00220D1F">
        <w:rPr>
          <w:rFonts w:asciiTheme="majorHAnsi" w:hAnsiTheme="majorHAnsi" w:cs="Courier New"/>
          <w:i/>
          <w:sz w:val="20"/>
          <w:szCs w:val="20"/>
        </w:rPr>
        <w:t xml:space="preserve"> </w:t>
      </w:r>
      <w:r w:rsidRPr="008A317A">
        <w:rPr>
          <w:rFonts w:asciiTheme="majorHAnsi" w:hAnsiTheme="majorHAnsi" w:cs="Courier New"/>
          <w:i/>
          <w:sz w:val="20"/>
          <w:szCs w:val="20"/>
        </w:rPr>
        <w:t>55</w:t>
      </w:r>
      <w:r w:rsidRPr="00220D1F">
        <w:rPr>
          <w:rFonts w:asciiTheme="majorHAnsi" w:hAnsiTheme="majorHAnsi" w:cs="Courier New"/>
          <w:sz w:val="20"/>
          <w:szCs w:val="20"/>
        </w:rPr>
        <w:t>(S2)</w:t>
      </w:r>
      <w:r w:rsidR="008A317A">
        <w:rPr>
          <w:rFonts w:asciiTheme="majorHAnsi" w:hAnsiTheme="majorHAnsi" w:cs="Courier New"/>
          <w:sz w:val="20"/>
          <w:szCs w:val="20"/>
        </w:rPr>
        <w:t>,</w:t>
      </w:r>
      <w:r w:rsidRPr="00220D1F">
        <w:rPr>
          <w:rFonts w:asciiTheme="majorHAnsi" w:hAnsiTheme="majorHAnsi" w:cs="Courier New"/>
          <w:sz w:val="20"/>
          <w:szCs w:val="20"/>
        </w:rPr>
        <w:t>S132-42.</w:t>
      </w:r>
    </w:p>
    <w:p w:rsidR="00DF7649" w:rsidRPr="00DF7649" w:rsidRDefault="00DF7649" w:rsidP="00BA3ED3">
      <w:pPr>
        <w:rPr>
          <w:rFonts w:asciiTheme="majorHAnsi" w:hAnsiTheme="majorHAnsi" w:cs="Courier New"/>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86CC2" w:rsidTr="001155F3">
        <w:tc>
          <w:tcPr>
            <w:tcW w:w="9576" w:type="dxa"/>
          </w:tcPr>
          <w:p w:rsidR="00586CC2" w:rsidRPr="00586CC2" w:rsidRDefault="00DF7649" w:rsidP="00DF7649">
            <w:pPr>
              <w:tabs>
                <w:tab w:val="left" w:pos="210"/>
                <w:tab w:val="center" w:pos="4680"/>
              </w:tabs>
              <w:contextualSpacing/>
              <w:rPr>
                <w:rFonts w:asciiTheme="majorHAnsi" w:hAnsiTheme="majorHAnsi"/>
                <w:b/>
                <w:i/>
              </w:rPr>
            </w:pPr>
            <w:r>
              <w:rPr>
                <w:rFonts w:asciiTheme="majorHAnsi" w:hAnsiTheme="majorHAnsi"/>
                <w:b/>
              </w:rPr>
              <w:tab/>
            </w:r>
            <w:r>
              <w:rPr>
                <w:rFonts w:asciiTheme="majorHAnsi" w:hAnsiTheme="majorHAnsi"/>
                <w:b/>
              </w:rPr>
              <w:tab/>
            </w:r>
            <w:r w:rsidR="00586CC2" w:rsidRPr="00586CC2">
              <w:rPr>
                <w:rFonts w:asciiTheme="majorHAnsi" w:hAnsiTheme="majorHAnsi"/>
                <w:b/>
              </w:rPr>
              <w:t xml:space="preserve">Figure 1: Comparison of </w:t>
            </w:r>
            <w:r w:rsidR="00586CC2" w:rsidRPr="00586CC2">
              <w:rPr>
                <w:rFonts w:asciiTheme="majorHAnsi" w:hAnsiTheme="majorHAnsi"/>
                <w:b/>
                <w:i/>
              </w:rPr>
              <w:t xml:space="preserve">Clostridium difficile </w:t>
            </w:r>
            <w:r w:rsidR="00586CC2" w:rsidRPr="00586CC2">
              <w:rPr>
                <w:rFonts w:asciiTheme="majorHAnsi" w:hAnsiTheme="majorHAnsi"/>
                <w:b/>
              </w:rPr>
              <w:t>counts.</w:t>
            </w:r>
            <w:r w:rsidR="00586CC2" w:rsidRPr="00586CC2">
              <w:rPr>
                <w:rFonts w:asciiTheme="majorHAnsi" w:hAnsiTheme="majorHAnsi"/>
                <w:b/>
                <w:i/>
              </w:rPr>
              <w:t xml:space="preserve"> </w:t>
            </w:r>
          </w:p>
          <w:p w:rsidR="00586CC2" w:rsidRDefault="00586CC2" w:rsidP="00AA1F6A">
            <w:pPr>
              <w:contextualSpacing/>
              <w:jc w:val="center"/>
              <w:rPr>
                <w:rFonts w:ascii="Courier New" w:hAnsi="Courier New"/>
                <w:noProof/>
              </w:rPr>
            </w:pPr>
            <w:r w:rsidRPr="00DB4C6F">
              <w:rPr>
                <w:rFonts w:asciiTheme="majorHAnsi" w:hAnsiTheme="majorHAnsi"/>
                <w:sz w:val="22"/>
              </w:rPr>
              <w:t>Antibiotics were administered days 1-10.</w:t>
            </w:r>
          </w:p>
        </w:tc>
      </w:tr>
      <w:tr w:rsidR="00AA1F6A" w:rsidTr="001155F3">
        <w:tc>
          <w:tcPr>
            <w:tcW w:w="9576" w:type="dxa"/>
          </w:tcPr>
          <w:p w:rsidR="00AA1F6A" w:rsidRDefault="00EA0AD2" w:rsidP="00AA1F6A">
            <w:pPr>
              <w:contextualSpacing/>
              <w:jc w:val="center"/>
              <w:rPr>
                <w:rFonts w:ascii="Courier New" w:hAnsi="Courier New"/>
              </w:rPr>
            </w:pPr>
            <w:r>
              <w:rPr>
                <w:rFonts w:ascii="Courier New" w:hAnsi="Courier New"/>
                <w:noProof/>
              </w:rPr>
              <w:pict>
                <v:shapetype id="_x0000_t202" coordsize="21600,21600" o:spt="202" path="m,l,21600r21600,l21600,xe">
                  <v:stroke joinstyle="miter"/>
                  <v:path gradientshapeok="t" o:connecttype="rect"/>
                </v:shapetype>
                <v:shape id="Text Box 2" o:spid="_x0000_s2059" type="#_x0000_t202" style="position:absolute;left:0;text-align:left;margin-left:395.55pt;margin-top:74.35pt;width:15pt;height:126.5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" stroked="f">
                  <v:textbox style="layout-flow:vertical;mso-layout-flow-alt:bottom-to-top;mso-next-textbox:#Text Box 2" inset="0,0,0,0">
                    <w:txbxContent>
                      <w:p w:rsidR="00AA1F6A" w:rsidRPr="0081660C" w:rsidRDefault="00952217" w:rsidP="00AA1F6A">
                        <w:pPr>
                          <w:rPr>
                            <w:sz w:val="20"/>
                          </w:rPr>
                        </w:pPr>
                        <w:r>
                          <w:rPr>
                            <w:color w:val="808080" w:themeColor="background1" w:themeShade="80"/>
                            <w:sz w:val="20"/>
                          </w:rPr>
                          <w:t>Data</w:t>
                        </w:r>
                        <w:r w:rsidR="00AA1F6A" w:rsidRPr="0081660C">
                          <w:rPr>
                            <w:color w:val="808080" w:themeColor="background1" w:themeShade="80"/>
                            <w:sz w:val="20"/>
                          </w:rPr>
                          <w:t xml:space="preserve"> from: Louie et al. 2012</w:t>
                        </w:r>
                      </w:p>
                    </w:txbxContent>
                  </v:textbox>
                </v:shape>
              </w:pict>
            </w:r>
            <w:r w:rsidR="001155F3">
              <w:rPr>
                <w:rFonts w:ascii="Courier New" w:hAnsi="Courier New"/>
                <w:noProof/>
              </w:rPr>
              <w:drawing>
                <wp:inline distT="0" distB="0" distL="0" distR="0" wp14:anchorId="47A77D3F" wp14:editId="7F7CA3D6">
                  <wp:extent cx="3910155" cy="2638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A-01.jpg"/>
                          <pic:cNvPicPr/>
                        </pic:nvPicPr>
                        <pic:blipFill>
                          <a:blip r:embed="rId9">
                            <a:extLst>
                              <a:ext uri="{28A0092B-C50C-407E-A947-70E740481C1C}">
                                <a14:useLocalDpi xmlns:a14="http://schemas.microsoft.com/office/drawing/2010/main" val="0"/>
                              </a:ext>
                            </a:extLst>
                          </a:blip>
                          <a:stretch>
                            <a:fillRect/>
                          </a:stretch>
                        </pic:blipFill>
                        <pic:spPr>
                          <a:xfrm>
                            <a:off x="0" y="0"/>
                            <a:ext cx="3911077" cy="2639047"/>
                          </a:xfrm>
                          <a:prstGeom prst="rect">
                            <a:avLst/>
                          </a:prstGeom>
                        </pic:spPr>
                      </pic:pic>
                    </a:graphicData>
                  </a:graphic>
                </wp:inline>
              </w:drawing>
            </w:r>
          </w:p>
        </w:tc>
      </w:tr>
    </w:tbl>
    <w:p w:rsidR="00AA1F6A" w:rsidRDefault="00AA1F6A" w:rsidP="00BA3ED3">
      <w:pPr>
        <w:contextualSpacing/>
        <w:rPr>
          <w:rFonts w:ascii="Courier New" w:hAnsi="Courier New"/>
          <w:sz w:val="24"/>
          <w:szCs w:val="24"/>
        </w:rPr>
      </w:pPr>
    </w:p>
    <w:p w:rsidR="00586CC2" w:rsidRDefault="00586CC2" w:rsidP="00BA3ED3">
      <w:pPr>
        <w:contextualSpacing/>
        <w:rPr>
          <w:rFonts w:ascii="Courier New" w:hAnsi="Courier New"/>
          <w:sz w:val="24"/>
          <w:szCs w:val="24"/>
        </w:rPr>
      </w:pPr>
    </w:p>
    <w:tbl>
      <w:tblPr>
        <w:tblStyle w:val="TableGrid"/>
        <w:tblW w:w="10402" w:type="dxa"/>
        <w:jc w:val="center"/>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right w:w="115" w:type="dxa"/>
        </w:tblCellMar>
        <w:tblLook w:val="04A0" w:firstRow="1" w:lastRow="0" w:firstColumn="1" w:lastColumn="0" w:noHBand="0" w:noVBand="1"/>
      </w:tblPr>
      <w:tblGrid>
        <w:gridCol w:w="5201"/>
        <w:gridCol w:w="5201"/>
      </w:tblGrid>
      <w:tr w:rsidR="001E64F7" w:rsidTr="001E64F7">
        <w:trPr>
          <w:jc w:val="center"/>
        </w:trPr>
        <w:tc>
          <w:tcPr>
            <w:tcW w:w="5201" w:type="dxa"/>
          </w:tcPr>
          <w:p w:rsidR="001E64F7" w:rsidRDefault="00DB4C6F" w:rsidP="00DB4C6F">
            <w:pPr>
              <w:contextualSpacing/>
              <w:jc w:val="center"/>
              <w:rPr>
                <w:rFonts w:ascii="Courier New" w:hAnsi="Courier New"/>
                <w:noProof/>
              </w:rPr>
            </w:pPr>
            <w:r>
              <w:rPr>
                <w:rFonts w:ascii="Courier New" w:hAnsi="Courier New"/>
              </w:rPr>
              <w:br w:type="page"/>
            </w:r>
            <w:r w:rsidR="001E64F7" w:rsidRPr="00586CC2">
              <w:rPr>
                <w:rFonts w:asciiTheme="majorHAnsi" w:hAnsiTheme="majorHAnsi"/>
                <w:b/>
              </w:rPr>
              <w:t xml:space="preserve">Figure 2: Comparison of </w:t>
            </w:r>
            <w:r w:rsidR="001E64F7" w:rsidRPr="00586CC2">
              <w:rPr>
                <w:rFonts w:asciiTheme="majorHAnsi" w:hAnsiTheme="majorHAnsi"/>
                <w:b/>
                <w:i/>
              </w:rPr>
              <w:t>Bacteroides</w:t>
            </w:r>
            <w:r w:rsidR="001E64F7" w:rsidRPr="00586CC2">
              <w:rPr>
                <w:rFonts w:asciiTheme="majorHAnsi" w:hAnsiTheme="majorHAnsi"/>
                <w:b/>
              </w:rPr>
              <w:t xml:space="preserve"> counts.</w:t>
            </w:r>
            <w:r w:rsidR="001E64F7" w:rsidRPr="00586CC2">
              <w:rPr>
                <w:rFonts w:asciiTheme="majorHAnsi" w:hAnsiTheme="majorHAnsi"/>
              </w:rPr>
              <w:t xml:space="preserve"> </w:t>
            </w:r>
            <w:r w:rsidR="001E64F7" w:rsidRPr="00DB4C6F">
              <w:rPr>
                <w:rFonts w:asciiTheme="majorHAnsi" w:hAnsiTheme="majorHAnsi"/>
                <w:sz w:val="22"/>
              </w:rPr>
              <w:t>Antibiotics were administered days 1-10.</w:t>
            </w:r>
          </w:p>
        </w:tc>
        <w:tc>
          <w:tcPr>
            <w:tcW w:w="5201" w:type="dxa"/>
          </w:tcPr>
          <w:p w:rsidR="00F46FCD" w:rsidRDefault="001E64F7" w:rsidP="00DB4C6F">
            <w:pPr>
              <w:contextualSpacing/>
              <w:jc w:val="center"/>
              <w:rPr>
                <w:rFonts w:asciiTheme="majorHAnsi" w:hAnsiTheme="majorHAnsi"/>
                <w:b/>
                <w:sz w:val="22"/>
              </w:rPr>
            </w:pPr>
            <w:r w:rsidRPr="00586CC2">
              <w:rPr>
                <w:rFonts w:asciiTheme="majorHAnsi" w:hAnsiTheme="majorHAnsi"/>
                <w:b/>
              </w:rPr>
              <w:t xml:space="preserve">Figure 3: Comparison of </w:t>
            </w:r>
            <w:r w:rsidRPr="00586CC2">
              <w:rPr>
                <w:rFonts w:asciiTheme="majorHAnsi" w:hAnsiTheme="majorHAnsi"/>
                <w:b/>
                <w:i/>
              </w:rPr>
              <w:t xml:space="preserve">Prevotella </w:t>
            </w:r>
            <w:r w:rsidRPr="00586CC2">
              <w:rPr>
                <w:rFonts w:asciiTheme="majorHAnsi" w:hAnsiTheme="majorHAnsi"/>
                <w:b/>
              </w:rPr>
              <w:t xml:space="preserve">counts. </w:t>
            </w:r>
          </w:p>
          <w:p w:rsidR="001E64F7" w:rsidRDefault="001E64F7" w:rsidP="00DB4C6F">
            <w:pPr>
              <w:contextualSpacing/>
              <w:jc w:val="center"/>
              <w:rPr>
                <w:rFonts w:ascii="Courier New" w:hAnsi="Courier New"/>
                <w:noProof/>
              </w:rPr>
            </w:pPr>
            <w:r w:rsidRPr="00DB4C6F">
              <w:rPr>
                <w:rFonts w:asciiTheme="majorHAnsi" w:hAnsiTheme="majorHAnsi"/>
                <w:sz w:val="22"/>
              </w:rPr>
              <w:t>Antibiotics were administered days 1-10.</w:t>
            </w:r>
          </w:p>
        </w:tc>
      </w:tr>
      <w:tr w:rsidR="00DB4C6F" w:rsidTr="001E64F7">
        <w:trPr>
          <w:trHeight w:val="3530"/>
          <w:jc w:val="center"/>
        </w:trPr>
        <w:tc>
          <w:tcPr>
            <w:tcW w:w="5201" w:type="dxa"/>
          </w:tcPr>
          <w:p w:rsidR="00DB4C6F" w:rsidRDefault="00DB4C6F" w:rsidP="00DB4C6F">
            <w:pPr>
              <w:contextualSpacing/>
              <w:jc w:val="center"/>
              <w:rPr>
                <w:rFonts w:ascii="Courier New" w:hAnsi="Courier New"/>
              </w:rPr>
            </w:pPr>
            <w:r>
              <w:rPr>
                <w:rFonts w:ascii="Courier New" w:hAnsi="Courier New"/>
                <w:noProof/>
              </w:rPr>
              <w:drawing>
                <wp:inline distT="0" distB="0" distL="0" distR="0" wp14:anchorId="6BA653A8" wp14:editId="66E44B17">
                  <wp:extent cx="3252345"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B-01.jpg"/>
                          <pic:cNvPicPr/>
                        </pic:nvPicPr>
                        <pic:blipFill>
                          <a:blip r:embed="rId10">
                            <a:extLst>
                              <a:ext uri="{28A0092B-C50C-407E-A947-70E740481C1C}">
                                <a14:useLocalDpi xmlns:a14="http://schemas.microsoft.com/office/drawing/2010/main" val="0"/>
                              </a:ext>
                            </a:extLst>
                          </a:blip>
                          <a:stretch>
                            <a:fillRect/>
                          </a:stretch>
                        </pic:blipFill>
                        <pic:spPr>
                          <a:xfrm>
                            <a:off x="0" y="0"/>
                            <a:ext cx="3252345" cy="2194560"/>
                          </a:xfrm>
                          <a:prstGeom prst="rect">
                            <a:avLst/>
                          </a:prstGeom>
                        </pic:spPr>
                      </pic:pic>
                    </a:graphicData>
                  </a:graphic>
                </wp:inline>
              </w:drawing>
            </w:r>
          </w:p>
        </w:tc>
        <w:tc>
          <w:tcPr>
            <w:tcW w:w="5201" w:type="dxa"/>
          </w:tcPr>
          <w:p w:rsidR="00DB4C6F" w:rsidRDefault="00EA0AD2" w:rsidP="00DB4C6F">
            <w:pPr>
              <w:contextualSpacing/>
              <w:jc w:val="center"/>
              <w:rPr>
                <w:rFonts w:ascii="Courier New" w:hAnsi="Courier New"/>
                <w:noProof/>
              </w:rPr>
            </w:pPr>
            <w:r>
              <w:rPr>
                <w:rFonts w:ascii="Courier New" w:hAnsi="Courier New"/>
                <w:noProof/>
              </w:rPr>
              <w:pict>
                <v:shape id="_x0000_s2061" type="#_x0000_t202" style="position:absolute;left:0;text-align:left;margin-left:254.5pt;margin-top:41.55pt;width:11.25pt;height:126.5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" stroked="f">
                  <v:textbox style="layout-flow:vertical;mso-layout-flow-alt:bottom-to-top;mso-next-textbox:#_x0000_s2061" inset="0,0,0,0">
                    <w:txbxContent>
                      <w:p w:rsidR="00952217" w:rsidRPr="0081660C" w:rsidRDefault="00952217" w:rsidP="00952217">
                        <w:pPr>
                          <w:rPr>
                            <w:sz w:val="20"/>
                          </w:rPr>
                        </w:pPr>
                        <w:r>
                          <w:rPr>
                            <w:color w:val="808080" w:themeColor="background1" w:themeShade="80"/>
                            <w:sz w:val="20"/>
                          </w:rPr>
                          <w:t>Data</w:t>
                        </w:r>
                        <w:r w:rsidRPr="0081660C">
                          <w:rPr>
                            <w:color w:val="808080" w:themeColor="background1" w:themeShade="80"/>
                            <w:sz w:val="20"/>
                          </w:rPr>
                          <w:t xml:space="preserve"> from: Louie et al. 2012</w:t>
                        </w:r>
                      </w:p>
                    </w:txbxContent>
                  </v:textbox>
                </v:shape>
              </w:pict>
            </w:r>
            <w:r w:rsidR="00DB4C6F">
              <w:rPr>
                <w:rFonts w:ascii="Courier New" w:hAnsi="Courier New"/>
                <w:noProof/>
              </w:rPr>
              <w:drawing>
                <wp:inline distT="0" distB="0" distL="0" distR="0" wp14:anchorId="5F21A352" wp14:editId="28836532">
                  <wp:extent cx="3252346"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C-01.jpg"/>
                          <pic:cNvPicPr/>
                        </pic:nvPicPr>
                        <pic:blipFill>
                          <a:blip r:embed="rId11">
                            <a:extLst>
                              <a:ext uri="{28A0092B-C50C-407E-A947-70E740481C1C}">
                                <a14:useLocalDpi xmlns:a14="http://schemas.microsoft.com/office/drawing/2010/main" val="0"/>
                              </a:ext>
                            </a:extLst>
                          </a:blip>
                          <a:stretch>
                            <a:fillRect/>
                          </a:stretch>
                        </pic:blipFill>
                        <pic:spPr>
                          <a:xfrm>
                            <a:off x="0" y="0"/>
                            <a:ext cx="3252346" cy="2194560"/>
                          </a:xfrm>
                          <a:prstGeom prst="rect">
                            <a:avLst/>
                          </a:prstGeom>
                        </pic:spPr>
                      </pic:pic>
                    </a:graphicData>
                  </a:graphic>
                </wp:inline>
              </w:drawing>
            </w:r>
          </w:p>
        </w:tc>
      </w:tr>
    </w:tbl>
    <w:p w:rsidR="004E63E7" w:rsidRDefault="004E63E7" w:rsidP="00BA3ED3">
      <w:pPr>
        <w:contextualSpacing/>
        <w:rPr>
          <w:rFonts w:ascii="Courier New" w:hAnsi="Courier New"/>
          <w:sz w:val="24"/>
          <w:szCs w:val="24"/>
        </w:rPr>
      </w:pPr>
    </w:p>
    <w:p w:rsidR="00952217" w:rsidRDefault="00952217" w:rsidP="00BA3ED3">
      <w:pPr>
        <w:contextualSpacing/>
        <w:rPr>
          <w:rFonts w:ascii="Courier New" w:hAnsi="Courier New"/>
          <w:sz w:val="24"/>
          <w:szCs w:val="24"/>
        </w:rPr>
      </w:pPr>
    </w:p>
    <w:tbl>
      <w:tblPr>
        <w:tblStyle w:val="TableGrid"/>
        <w:tblW w:w="10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right w:w="115" w:type="dxa"/>
        </w:tblCellMar>
        <w:tblLook w:val="04A0" w:firstRow="1" w:lastRow="0" w:firstColumn="1" w:lastColumn="0" w:noHBand="0" w:noVBand="1"/>
      </w:tblPr>
      <w:tblGrid>
        <w:gridCol w:w="5198"/>
        <w:gridCol w:w="5198"/>
      </w:tblGrid>
      <w:tr w:rsidR="001E64F7" w:rsidTr="00315FA4">
        <w:trPr>
          <w:jc w:val="center"/>
        </w:trPr>
        <w:tc>
          <w:tcPr>
            <w:tcW w:w="5198" w:type="dxa"/>
          </w:tcPr>
          <w:p w:rsidR="001E64F7" w:rsidRDefault="001E64F7" w:rsidP="00136B1C">
            <w:pPr>
              <w:contextualSpacing/>
              <w:jc w:val="center"/>
              <w:rPr>
                <w:rFonts w:ascii="Courier New" w:hAnsi="Courier New"/>
                <w:noProof/>
              </w:rPr>
            </w:pPr>
            <w:r w:rsidRPr="00586CC2">
              <w:rPr>
                <w:rFonts w:asciiTheme="majorHAnsi" w:hAnsiTheme="majorHAnsi"/>
                <w:b/>
                <w:szCs w:val="23"/>
              </w:rPr>
              <w:t xml:space="preserve">Figure 4: Comparison of </w:t>
            </w:r>
            <w:r w:rsidRPr="00586CC2">
              <w:rPr>
                <w:rFonts w:asciiTheme="majorHAnsi" w:hAnsiTheme="majorHAnsi"/>
                <w:b/>
                <w:i/>
                <w:szCs w:val="23"/>
              </w:rPr>
              <w:t>Clostridium Coccoides</w:t>
            </w:r>
            <w:r w:rsidRPr="00586CC2">
              <w:rPr>
                <w:rFonts w:asciiTheme="majorHAnsi" w:hAnsiTheme="majorHAnsi"/>
                <w:b/>
                <w:szCs w:val="23"/>
              </w:rPr>
              <w:t xml:space="preserve"> counts.</w:t>
            </w:r>
            <w:r w:rsidRPr="00586CC2">
              <w:rPr>
                <w:rFonts w:asciiTheme="majorHAnsi" w:hAnsiTheme="majorHAnsi"/>
                <w:sz w:val="28"/>
              </w:rPr>
              <w:t xml:space="preserve"> </w:t>
            </w:r>
            <w:r w:rsidRPr="00DB4C6F">
              <w:rPr>
                <w:rFonts w:asciiTheme="majorHAnsi" w:hAnsiTheme="majorHAnsi"/>
                <w:sz w:val="22"/>
              </w:rPr>
              <w:t>Antibiotics were administered days 1-10.</w:t>
            </w:r>
          </w:p>
        </w:tc>
        <w:tc>
          <w:tcPr>
            <w:tcW w:w="5198" w:type="dxa"/>
          </w:tcPr>
          <w:p w:rsidR="001E64F7" w:rsidRDefault="001E64F7" w:rsidP="007113CB">
            <w:pPr>
              <w:contextualSpacing/>
              <w:jc w:val="center"/>
              <w:rPr>
                <w:rFonts w:ascii="Courier New" w:hAnsi="Courier New"/>
                <w:noProof/>
              </w:rPr>
            </w:pPr>
            <w:r w:rsidRPr="00586CC2">
              <w:rPr>
                <w:rFonts w:asciiTheme="majorHAnsi" w:hAnsiTheme="majorHAnsi"/>
                <w:b/>
              </w:rPr>
              <w:t>Figure 5: Compa</w:t>
            </w:r>
            <w:r w:rsidR="00136B1C">
              <w:rPr>
                <w:rFonts w:asciiTheme="majorHAnsi" w:hAnsiTheme="majorHAnsi"/>
                <w:b/>
              </w:rPr>
              <w:t>rison of Enterococcac</w:t>
            </w:r>
            <w:r w:rsidR="00586CC2">
              <w:rPr>
                <w:rFonts w:asciiTheme="majorHAnsi" w:hAnsiTheme="majorHAnsi"/>
                <w:b/>
              </w:rPr>
              <w:t>eae counts</w:t>
            </w:r>
            <w:r w:rsidRPr="00586CC2">
              <w:rPr>
                <w:rFonts w:asciiTheme="majorHAnsi" w:hAnsiTheme="majorHAnsi"/>
              </w:rPr>
              <w:t xml:space="preserve"> </w:t>
            </w:r>
            <w:r w:rsidRPr="00DB4C6F">
              <w:rPr>
                <w:rFonts w:asciiTheme="majorHAnsi" w:hAnsiTheme="majorHAnsi"/>
                <w:sz w:val="22"/>
              </w:rPr>
              <w:t>Antibiotics were administered days 1-10.</w:t>
            </w:r>
          </w:p>
        </w:tc>
      </w:tr>
      <w:tr w:rsidR="00DB4C6F" w:rsidTr="00315FA4">
        <w:trPr>
          <w:trHeight w:val="3528"/>
          <w:jc w:val="center"/>
        </w:trPr>
        <w:tc>
          <w:tcPr>
            <w:tcW w:w="5198" w:type="dxa"/>
          </w:tcPr>
          <w:p w:rsidR="00DB4C6F" w:rsidRDefault="00DB4C6F" w:rsidP="001E64F7">
            <w:pPr>
              <w:contextualSpacing/>
              <w:rPr>
                <w:rFonts w:ascii="Courier New" w:hAnsi="Courier New"/>
              </w:rPr>
            </w:pPr>
            <w:r>
              <w:rPr>
                <w:rFonts w:ascii="Courier New" w:hAnsi="Courier New"/>
                <w:noProof/>
              </w:rPr>
              <w:drawing>
                <wp:inline distT="0" distB="0" distL="0" distR="0" wp14:anchorId="55D65ACF" wp14:editId="1B66A7E5">
                  <wp:extent cx="3252346" cy="2194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D-01.jpg"/>
                          <pic:cNvPicPr/>
                        </pic:nvPicPr>
                        <pic:blipFill>
                          <a:blip r:embed="rId12">
                            <a:extLst>
                              <a:ext uri="{28A0092B-C50C-407E-A947-70E740481C1C}">
                                <a14:useLocalDpi xmlns:a14="http://schemas.microsoft.com/office/drawing/2010/main" val="0"/>
                              </a:ext>
                            </a:extLst>
                          </a:blip>
                          <a:stretch>
                            <a:fillRect/>
                          </a:stretch>
                        </pic:blipFill>
                        <pic:spPr>
                          <a:xfrm>
                            <a:off x="0" y="0"/>
                            <a:ext cx="3252346" cy="2194560"/>
                          </a:xfrm>
                          <a:prstGeom prst="rect">
                            <a:avLst/>
                          </a:prstGeom>
                        </pic:spPr>
                      </pic:pic>
                    </a:graphicData>
                  </a:graphic>
                </wp:inline>
              </w:drawing>
            </w:r>
          </w:p>
        </w:tc>
        <w:tc>
          <w:tcPr>
            <w:tcW w:w="5198" w:type="dxa"/>
          </w:tcPr>
          <w:p w:rsidR="00DB4C6F" w:rsidRDefault="00EA0AD2" w:rsidP="001E64F7">
            <w:pPr>
              <w:contextualSpacing/>
              <w:rPr>
                <w:rFonts w:ascii="Courier New" w:hAnsi="Courier New"/>
                <w:noProof/>
              </w:rPr>
            </w:pPr>
            <w:r>
              <w:rPr>
                <w:rFonts w:ascii="Courier New" w:hAnsi="Courier New"/>
                <w:noProof/>
              </w:rPr>
              <w:pict>
                <v:shape id="_x0000_s2062" type="#_x0000_t202" style="position:absolute;margin-left:254.5pt;margin-top:41.85pt;width:15pt;height:126.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" stroked="f">
                  <v:textbox style="layout-flow:vertical;mso-layout-flow-alt:bottom-to-top;mso-next-textbox:#_x0000_s2062" inset="0,0,0,0">
                    <w:txbxContent>
                      <w:p w:rsidR="00952217" w:rsidRPr="0081660C" w:rsidRDefault="00952217" w:rsidP="00952217">
                        <w:pPr>
                          <w:rPr>
                            <w:sz w:val="20"/>
                          </w:rPr>
                        </w:pPr>
                        <w:r>
                          <w:rPr>
                            <w:color w:val="808080" w:themeColor="background1" w:themeShade="80"/>
                            <w:sz w:val="20"/>
                          </w:rPr>
                          <w:t>Data</w:t>
                        </w:r>
                        <w:r w:rsidRPr="0081660C">
                          <w:rPr>
                            <w:color w:val="808080" w:themeColor="background1" w:themeShade="80"/>
                            <w:sz w:val="20"/>
                          </w:rPr>
                          <w:t xml:space="preserve"> from: Louie et al. 2012</w:t>
                        </w:r>
                      </w:p>
                    </w:txbxContent>
                  </v:textbox>
                </v:shape>
              </w:pict>
            </w:r>
            <w:r w:rsidR="00DB4C6F">
              <w:rPr>
                <w:rFonts w:ascii="Courier New" w:hAnsi="Courier New"/>
                <w:noProof/>
              </w:rPr>
              <w:drawing>
                <wp:inline distT="0" distB="0" distL="0" distR="0" wp14:anchorId="4C43B6DC" wp14:editId="5CCAF860">
                  <wp:extent cx="3252349"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E-01.jpg"/>
                          <pic:cNvPicPr/>
                        </pic:nvPicPr>
                        <pic:blipFill>
                          <a:blip r:embed="rId13">
                            <a:extLst>
                              <a:ext uri="{28A0092B-C50C-407E-A947-70E740481C1C}">
                                <a14:useLocalDpi xmlns:a14="http://schemas.microsoft.com/office/drawing/2010/main" val="0"/>
                              </a:ext>
                            </a:extLst>
                          </a:blip>
                          <a:stretch>
                            <a:fillRect/>
                          </a:stretch>
                        </pic:blipFill>
                        <pic:spPr>
                          <a:xfrm>
                            <a:off x="0" y="0"/>
                            <a:ext cx="3252349" cy="2194560"/>
                          </a:xfrm>
                          <a:prstGeom prst="rect">
                            <a:avLst/>
                          </a:prstGeom>
                        </pic:spPr>
                      </pic:pic>
                    </a:graphicData>
                  </a:graphic>
                </wp:inline>
              </w:drawing>
            </w:r>
          </w:p>
        </w:tc>
      </w:tr>
    </w:tbl>
    <w:p w:rsidR="00CC637C" w:rsidRDefault="00CC637C" w:rsidP="0017212E"/>
    <w:p w:rsidR="00305DD4" w:rsidRDefault="00305DD4" w:rsidP="0017212E"/>
    <w:tbl>
      <w:tblPr>
        <w:tblStyle w:val="TableGrid"/>
        <w:tblW w:w="10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8"/>
      </w:tblGrid>
      <w:tr w:rsidR="00305DD4" w:rsidTr="00305DD4">
        <w:trPr>
          <w:jc w:val="center"/>
        </w:trPr>
        <w:tc>
          <w:tcPr>
            <w:tcW w:w="10008" w:type="dxa"/>
          </w:tcPr>
          <w:p w:rsidR="00305DD4" w:rsidRDefault="00305DD4" w:rsidP="00305DD4">
            <w:pPr>
              <w:tabs>
                <w:tab w:val="left" w:pos="210"/>
                <w:tab w:val="center" w:pos="4680"/>
              </w:tabs>
              <w:contextualSpacing/>
              <w:rPr>
                <w:rFonts w:ascii="Courier New" w:hAnsi="Courier New"/>
                <w:noProof/>
              </w:rPr>
            </w:pPr>
            <w:r>
              <w:rPr>
                <w:rFonts w:asciiTheme="majorHAnsi" w:hAnsiTheme="majorHAnsi"/>
                <w:b/>
              </w:rPr>
              <w:tab/>
            </w:r>
            <w:r>
              <w:rPr>
                <w:rFonts w:asciiTheme="majorHAnsi" w:hAnsiTheme="majorHAnsi"/>
                <w:b/>
              </w:rPr>
              <w:tab/>
            </w:r>
            <w:r w:rsidRPr="00586CC2">
              <w:rPr>
                <w:rFonts w:asciiTheme="majorHAnsi" w:hAnsiTheme="majorHAnsi"/>
                <w:b/>
              </w:rPr>
              <w:t xml:space="preserve">Figure </w:t>
            </w:r>
            <w:r>
              <w:rPr>
                <w:rFonts w:asciiTheme="majorHAnsi" w:hAnsiTheme="majorHAnsi"/>
                <w:b/>
              </w:rPr>
              <w:t xml:space="preserve">6: Comparison of recurrence </w:t>
            </w:r>
            <w:r w:rsidR="000F471C">
              <w:rPr>
                <w:rFonts w:asciiTheme="majorHAnsi" w:hAnsiTheme="majorHAnsi"/>
                <w:b/>
              </w:rPr>
              <w:t xml:space="preserve">of CDI </w:t>
            </w:r>
            <w:r w:rsidR="006A1B6A">
              <w:rPr>
                <w:rFonts w:asciiTheme="majorHAnsi" w:hAnsiTheme="majorHAnsi"/>
                <w:b/>
              </w:rPr>
              <w:t xml:space="preserve">and sustained cure </w:t>
            </w:r>
            <w:r>
              <w:rPr>
                <w:rFonts w:asciiTheme="majorHAnsi" w:hAnsiTheme="majorHAnsi"/>
                <w:b/>
              </w:rPr>
              <w:t>rates</w:t>
            </w:r>
          </w:p>
        </w:tc>
      </w:tr>
      <w:tr w:rsidR="00305DD4" w:rsidTr="00305DD4">
        <w:trPr>
          <w:jc w:val="center"/>
        </w:trPr>
        <w:tc>
          <w:tcPr>
            <w:tcW w:w="10008" w:type="dxa"/>
          </w:tcPr>
          <w:p w:rsidR="00305DD4" w:rsidRDefault="00EA0AD2" w:rsidP="00B83867">
            <w:pPr>
              <w:contextualSpacing/>
              <w:jc w:val="center"/>
              <w:rPr>
                <w:rFonts w:ascii="Courier New" w:hAnsi="Courier New"/>
              </w:rPr>
            </w:pPr>
            <w:r>
              <w:rPr>
                <w:rFonts w:ascii="Courier New" w:hAnsi="Courier New"/>
                <w:noProof/>
              </w:rPr>
              <w:pict>
                <v:shape id="_x0000_s2064" type="#_x0000_t202" style="position:absolute;left:0;text-align:left;margin-left:495.65pt;margin-top:59.8pt;width:15pt;height:126.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" stroked="f">
                  <v:textbox style="layout-flow:vertical;mso-layout-flow-alt:bottom-to-top;mso-next-textbox:#_x0000_s2064" inset="0,0,0,0">
                    <w:txbxContent>
                      <w:p w:rsidR="00305DD4" w:rsidRPr="0081660C" w:rsidRDefault="00305DD4" w:rsidP="00305DD4">
                        <w:pPr>
                          <w:rPr>
                            <w:sz w:val="20"/>
                          </w:rPr>
                        </w:pPr>
                        <w:r>
                          <w:rPr>
                            <w:color w:val="808080" w:themeColor="background1" w:themeShade="80"/>
                            <w:sz w:val="20"/>
                          </w:rPr>
                          <w:t>Data</w:t>
                        </w:r>
                        <w:r w:rsidRPr="0081660C">
                          <w:rPr>
                            <w:color w:val="808080" w:themeColor="background1" w:themeShade="80"/>
                            <w:sz w:val="20"/>
                          </w:rPr>
                          <w:t xml:space="preserve"> from: Louie et al. 2012</w:t>
                        </w:r>
                      </w:p>
                    </w:txbxContent>
                  </v:textbox>
                </v:shape>
              </w:pict>
            </w:r>
            <w:r w:rsidR="00305DD4">
              <w:rPr>
                <w:rFonts w:ascii="Courier New" w:hAnsi="Courier New"/>
                <w:noProof/>
              </w:rPr>
              <w:drawing>
                <wp:inline distT="0" distB="0" distL="0" distR="0" wp14:anchorId="67A6B13D" wp14:editId="00EA54E5">
                  <wp:extent cx="5645426" cy="23496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_L5_LouieDataGraphs-02.png"/>
                          <pic:cNvPicPr/>
                        </pic:nvPicPr>
                        <pic:blipFill rotWithShape="1">
                          <a:blip r:embed="rId14">
                            <a:extLst>
                              <a:ext uri="{28A0092B-C50C-407E-A947-70E740481C1C}">
                                <a14:useLocalDpi xmlns:a14="http://schemas.microsoft.com/office/drawing/2010/main" val="0"/>
                              </a:ext>
                            </a:extLst>
                          </a:blip>
                          <a:srcRect r="2447"/>
                          <a:stretch/>
                        </pic:blipFill>
                        <pic:spPr bwMode="auto">
                          <a:xfrm>
                            <a:off x="0" y="0"/>
                            <a:ext cx="5648231" cy="2350801"/>
                          </a:xfrm>
                          <a:prstGeom prst="rect">
                            <a:avLst/>
                          </a:prstGeom>
                          <a:ln>
                            <a:noFill/>
                          </a:ln>
                          <a:extLst>
                            <a:ext uri="{53640926-AAD7-44D8-BBD7-CCE9431645EC}">
                              <a14:shadowObscured xmlns:a14="http://schemas.microsoft.com/office/drawing/2010/main"/>
                            </a:ext>
                          </a:extLst>
                        </pic:spPr>
                      </pic:pic>
                    </a:graphicData>
                  </a:graphic>
                </wp:inline>
              </w:drawing>
            </w:r>
          </w:p>
        </w:tc>
      </w:tr>
    </w:tbl>
    <w:p w:rsidR="00305DD4" w:rsidRDefault="00305DD4" w:rsidP="0017212E"/>
    <w:sectPr w:rsidR="00305DD4" w:rsidSect="00F0249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5F3" w:rsidRDefault="003235F3" w:rsidP="00BA3ED3">
      <w:pPr>
        <w:spacing w:after="0" w:line="240" w:lineRule="auto"/>
      </w:pPr>
      <w:r>
        <w:separator/>
      </w:r>
    </w:p>
  </w:endnote>
  <w:endnote w:type="continuationSeparator" w:id="0">
    <w:p w:rsidR="003235F3" w:rsidRDefault="003235F3" w:rsidP="00BA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124" w:rsidRDefault="00F231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684243"/>
      <w:docPartObj>
        <w:docPartGallery w:val="Page Numbers (Bottom of Page)"/>
        <w:docPartUnique/>
      </w:docPartObj>
    </w:sdtPr>
    <w:sdtEndPr/>
    <w:sdtContent>
      <w:sdt>
        <w:sdtPr>
          <w:id w:val="-1669238322"/>
          <w:docPartObj>
            <w:docPartGallery w:val="Page Numbers (Top of Page)"/>
            <w:docPartUnique/>
          </w:docPartObj>
        </w:sdtPr>
        <w:sdtEndPr/>
        <w:sdtContent>
          <w:p w:rsidR="003235F3" w:rsidRDefault="001C5944" w:rsidP="009A5047">
            <w:pPr>
              <w:pStyle w:val="Footer"/>
              <w:tabs>
                <w:tab w:val="clear" w:pos="4320"/>
                <w:tab w:val="clear" w:pos="8640"/>
                <w:tab w:val="center" w:pos="5040"/>
                <w:tab w:val="right" w:pos="9360"/>
              </w:tabs>
              <w:jc w:val="center"/>
            </w:pPr>
            <w:r>
              <w:rPr>
                <w:noProof/>
              </w:rPr>
              <w:drawing>
                <wp:inline distT="0" distB="0" distL="0" distR="0" wp14:anchorId="36B6E755" wp14:editId="21D58518">
                  <wp:extent cx="988656" cy="464566"/>
                  <wp:effectExtent l="0" t="0" r="254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rsidR="009A5047">
              <w:tab/>
            </w:r>
            <w:r w:rsidR="00EC5128">
              <w:fldChar w:fldCharType="begin"/>
            </w:r>
            <w:r w:rsidR="009A5047">
              <w:instrText xml:space="preserve"> PAGE </w:instrText>
            </w:r>
            <w:r w:rsidR="00EC5128">
              <w:fldChar w:fldCharType="separate"/>
            </w:r>
            <w:r w:rsidR="00EA0AD2">
              <w:rPr>
                <w:noProof/>
              </w:rPr>
              <w:t>4</w:t>
            </w:r>
            <w:r w:rsidR="00EC5128">
              <w:fldChar w:fldCharType="end"/>
            </w:r>
            <w:r w:rsidR="009A5047">
              <w:tab/>
            </w:r>
            <w:r>
              <w:rPr>
                <w:noProof/>
              </w:rPr>
              <w:drawing>
                <wp:inline distT="0" distB="0" distL="0" distR="0" wp14:anchorId="175F9BB3" wp14:editId="49E4DB6C">
                  <wp:extent cx="914400" cy="4754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inline>
              </w:drawing>
            </w:r>
          </w:p>
        </w:sdtContent>
      </w:sdt>
    </w:sdtContent>
  </w:sdt>
  <w:p w:rsidR="003235F3" w:rsidRDefault="003235F3" w:rsidP="009A5047">
    <w:pPr>
      <w:pStyle w:val="Footer"/>
      <w:tabs>
        <w:tab w:val="clear" w:pos="4320"/>
        <w:tab w:val="center" w:pos="50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124" w:rsidRDefault="00F231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5F3" w:rsidRDefault="003235F3" w:rsidP="00BA3ED3">
      <w:pPr>
        <w:spacing w:after="0" w:line="240" w:lineRule="auto"/>
      </w:pPr>
      <w:r>
        <w:separator/>
      </w:r>
    </w:p>
  </w:footnote>
  <w:footnote w:type="continuationSeparator" w:id="0">
    <w:p w:rsidR="003235F3" w:rsidRDefault="003235F3" w:rsidP="00BA3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124" w:rsidRDefault="00F231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F3" w:rsidRPr="00AD2283" w:rsidRDefault="00EA0AD2" w:rsidP="00BA3ED3">
    <w:pPr>
      <w:rPr>
        <w:sz w:val="32"/>
      </w:rPr>
    </w:pPr>
    <w:r>
      <w:rPr>
        <w:noProof/>
        <w:sz w:val="32"/>
        <w:szCs w:val="24"/>
      </w:rPr>
      <w:pict>
        <v:shapetype id="_x0000_t202" coordsize="21600,21600" o:spt="202" path="m,l,21600r21600,l21600,xe">
          <v:stroke joinstyle="miter"/>
          <v:path gradientshapeok="t" o:connecttype="rect"/>
        </v:shapetype>
        <v:shape id="_x0000_s1034" type="#_x0000_t202" style="position:absolute;margin-left:-18pt;margin-top:0;width:483.3pt;height:3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" filled="f" stroked="f">
          <v:textbox style="mso-next-textbox:#_x0000_s1034">
            <w:txbxContent>
              <w:p w:rsidR="003235F3" w:rsidRPr="004E63E7" w:rsidRDefault="003235F3" w:rsidP="004E63E7">
                <w:pPr>
                  <w:pStyle w:val="Header"/>
                  <w:tabs>
                    <w:tab w:val="clear" w:pos="4320"/>
                    <w:tab w:val="clear" w:pos="8640"/>
                    <w:tab w:val="center" w:pos="5940"/>
                    <w:tab w:val="right" w:pos="9360"/>
                  </w:tabs>
                  <w:rPr>
                    <w:rFonts w:ascii="Calibri" w:hAnsi="Calibri"/>
                    <w:sz w:val="22"/>
                    <w:szCs w:val="22"/>
                  </w:rPr>
                </w:pPr>
                <w:r w:rsidRPr="004E63E7">
                  <w:rPr>
                    <w:rFonts w:ascii="Calibri" w:hAnsi="Calibri"/>
                    <w:sz w:val="22"/>
                    <w:szCs w:val="22"/>
                  </w:rPr>
                  <w:t xml:space="preserve">How do small </w:t>
                </w:r>
                <w:r w:rsidR="008A317A">
                  <w:rPr>
                    <w:rFonts w:ascii="Calibri" w:hAnsi="Calibri"/>
                    <w:sz w:val="22"/>
                    <w:szCs w:val="22"/>
                  </w:rPr>
                  <w:t>things</w:t>
                </w:r>
                <w:r w:rsidRPr="004E63E7">
                  <w:rPr>
                    <w:rFonts w:ascii="Calibri" w:hAnsi="Calibri"/>
                    <w:sz w:val="22"/>
                    <w:szCs w:val="22"/>
                  </w:rPr>
                  <w:t xml:space="preserve"> make a big difference?</w:t>
                </w:r>
                <w:r w:rsidRPr="004E63E7">
                  <w:rPr>
                    <w:rFonts w:ascii="Calibri" w:hAnsi="Calibri"/>
                    <w:sz w:val="22"/>
                    <w:szCs w:val="22"/>
                  </w:rPr>
                  <w:tab/>
                </w:r>
                <w:r w:rsidRPr="004E63E7">
                  <w:rPr>
                    <w:rFonts w:ascii="Calibri" w:hAnsi="Calibri"/>
                    <w:sz w:val="22"/>
                    <w:szCs w:val="22"/>
                  </w:rPr>
                  <w:tab/>
                </w:r>
                <w:r w:rsidR="00EA0AD2">
                  <w:rPr>
                    <w:rFonts w:ascii="Calibri" w:hAnsi="Calibri"/>
                    <w:sz w:val="22"/>
                    <w:szCs w:val="22"/>
                  </w:rPr>
                  <w:t>September</w:t>
                </w:r>
                <w:bookmarkStart w:id="0" w:name="_GoBack"/>
                <w:bookmarkEnd w:id="0"/>
                <w:r w:rsidR="00ED3CCB">
                  <w:rPr>
                    <w:rFonts w:ascii="Calibri" w:hAnsi="Calibri"/>
                    <w:sz w:val="22"/>
                    <w:szCs w:val="22"/>
                  </w:rPr>
                  <w:t xml:space="preserve"> 2014</w:t>
                </w:r>
              </w:p>
              <w:p w:rsidR="003235F3" w:rsidRPr="004E63E7" w:rsidRDefault="008A317A" w:rsidP="004E63E7">
                <w:pPr>
                  <w:pStyle w:val="Header"/>
                  <w:rPr>
                    <w:rFonts w:ascii="Calibri" w:hAnsi="Calibri"/>
                    <w:sz w:val="22"/>
                    <w:szCs w:val="22"/>
                  </w:rPr>
                </w:pPr>
                <w:r>
                  <w:rPr>
                    <w:rFonts w:ascii="Calibri" w:hAnsi="Calibri"/>
                    <w:sz w:val="22"/>
                    <w:szCs w:val="22"/>
                  </w:rPr>
                  <w:t>Lesson 6: What can happen</w:t>
                </w:r>
                <w:r w:rsidR="003235F3" w:rsidRPr="004E63E7">
                  <w:rPr>
                    <w:rFonts w:ascii="Calibri" w:hAnsi="Calibri"/>
                    <w:sz w:val="22"/>
                    <w:szCs w:val="22"/>
                  </w:rPr>
                  <w:t xml:space="preserve"> when my microbiome is disturbed?</w:t>
                </w:r>
              </w:p>
              <w:p w:rsidR="003235F3" w:rsidRPr="00315F96" w:rsidRDefault="003235F3" w:rsidP="00BA3ED3"/>
            </w:txbxContent>
          </v:textbox>
        </v:shape>
      </w:pict>
    </w:r>
  </w:p>
  <w:tbl>
    <w:tblPr>
      <w:tblStyle w:val="TableGrid"/>
      <w:tblW w:w="9635" w:type="dxa"/>
      <w:jc w:val="center"/>
      <w:tblInd w:w="216" w:type="dxa"/>
      <w:tblLook w:val="00A0" w:firstRow="1" w:lastRow="0" w:firstColumn="1" w:lastColumn="0" w:noHBand="0" w:noVBand="0"/>
    </w:tblPr>
    <w:tblGrid>
      <w:gridCol w:w="2896"/>
      <w:gridCol w:w="6739"/>
    </w:tblGrid>
    <w:tr w:rsidR="003235F3" w:rsidTr="001155F3">
      <w:trPr>
        <w:trHeight w:val="1350"/>
        <w:jc w:val="center"/>
      </w:trPr>
      <w:tc>
        <w:tcPr>
          <w:tcW w:w="2896" w:type="dxa"/>
          <w:tcBorders>
            <w:top w:val="nil"/>
            <w:left w:val="nil"/>
            <w:bottom w:val="nil"/>
            <w:right w:val="nil"/>
          </w:tcBorders>
          <w:vAlign w:val="center"/>
        </w:tcPr>
        <w:p w:rsidR="003235F3" w:rsidRDefault="003235F3" w:rsidP="00BA3ED3">
          <w:pPr>
            <w:jc w:val="center"/>
            <w:rPr>
              <w:sz w:val="32"/>
            </w:rPr>
          </w:pPr>
          <w:r w:rsidRPr="00AD2283">
            <w:rPr>
              <w:noProof/>
            </w:rPr>
            <w:drawing>
              <wp:inline distT="0" distB="0" distL="0" distR="0" wp14:anchorId="3525AC69" wp14:editId="01540806">
                <wp:extent cx="1137308" cy="848592"/>
                <wp:effectExtent l="25400" t="0" r="5692" b="0"/>
                <wp:docPr id="28" name="Picture 28" descr="::CM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W_logo.png"/>
                        <pic:cNvPicPr>
                          <a:picLocks noChangeAspect="1" noChangeArrowheads="1"/>
                        </pic:cNvPicPr>
                      </pic:nvPicPr>
                      <pic:blipFill>
                        <a:blip r:embed="rId1"/>
                        <a:srcRect/>
                        <a:stretch>
                          <a:fillRect/>
                        </a:stretch>
                      </pic:blipFill>
                      <pic:spPr bwMode="auto">
                        <a:xfrm>
                          <a:off x="0" y="0"/>
                          <a:ext cx="1137308" cy="848592"/>
                        </a:xfrm>
                        <a:prstGeom prst="rect">
                          <a:avLst/>
                        </a:prstGeom>
                        <a:noFill/>
                        <a:ln w="9525">
                          <a:noFill/>
                          <a:miter lim="800000"/>
                          <a:headEnd/>
                          <a:tailEnd/>
                        </a:ln>
                      </pic:spPr>
                    </pic:pic>
                  </a:graphicData>
                </a:graphic>
              </wp:inline>
            </w:drawing>
          </w:r>
        </w:p>
      </w:tc>
      <w:tc>
        <w:tcPr>
          <w:tcW w:w="6739" w:type="dxa"/>
          <w:tcBorders>
            <w:top w:val="nil"/>
            <w:left w:val="nil"/>
            <w:bottom w:val="nil"/>
            <w:right w:val="nil"/>
          </w:tcBorders>
          <w:vAlign w:val="center"/>
        </w:tcPr>
        <w:p w:rsidR="003235F3" w:rsidRPr="007B5686" w:rsidRDefault="003235F3" w:rsidP="00F23124">
          <w:pPr>
            <w:spacing w:after="0" w:line="360" w:lineRule="auto"/>
            <w:jc w:val="center"/>
            <w:rPr>
              <w:rFonts w:ascii="Calibri" w:hAnsi="Calibri"/>
              <w:sz w:val="32"/>
            </w:rPr>
          </w:pPr>
          <w:r w:rsidRPr="007B5686">
            <w:rPr>
              <w:rFonts w:ascii="Calibri" w:hAnsi="Calibri"/>
              <w:sz w:val="32"/>
            </w:rPr>
            <w:t xml:space="preserve">Recurrent </w:t>
          </w:r>
          <w:r w:rsidRPr="007B5686">
            <w:rPr>
              <w:rFonts w:ascii="Calibri" w:hAnsi="Calibri"/>
              <w:i/>
              <w:sz w:val="32"/>
            </w:rPr>
            <w:t>C. difficile</w:t>
          </w:r>
          <w:r w:rsidRPr="007B5686">
            <w:rPr>
              <w:rFonts w:ascii="Calibri" w:hAnsi="Calibri"/>
              <w:sz w:val="32"/>
            </w:rPr>
            <w:t xml:space="preserve"> infections</w:t>
          </w:r>
        </w:p>
        <w:p w:rsidR="003235F3" w:rsidRPr="00F23124" w:rsidRDefault="00F23124" w:rsidP="00F23124">
          <w:pPr>
            <w:spacing w:after="0" w:line="360" w:lineRule="auto"/>
            <w:jc w:val="center"/>
            <w:rPr>
              <w:b/>
              <w:sz w:val="32"/>
            </w:rPr>
          </w:pPr>
          <w:r w:rsidRPr="00F23124">
            <w:rPr>
              <w:rFonts w:ascii="Calibri" w:hAnsi="Calibri"/>
              <w:b/>
              <w:sz w:val="32"/>
            </w:rPr>
            <w:t xml:space="preserve">Case Review: </w:t>
          </w:r>
          <w:r w:rsidR="003235F3" w:rsidRPr="00F23124">
            <w:rPr>
              <w:rFonts w:ascii="Calibri" w:hAnsi="Calibri"/>
              <w:b/>
              <w:sz w:val="32"/>
            </w:rPr>
            <w:t>Part B</w:t>
          </w:r>
        </w:p>
      </w:tc>
    </w:tr>
  </w:tbl>
  <w:p w:rsidR="003235F3" w:rsidRDefault="00EA0AD2">
    <w:pPr>
      <w:pStyle w:val="Header"/>
    </w:pPr>
    <w:r>
      <w:pict>
        <v:rect id="_x0000_i1025" style="width:0;height:1.5pt" o:hralign="center" o:hrstd="t" o:hr="t" fillcolor="#aaa"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124" w:rsidRDefault="00F23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36A8C"/>
    <w:multiLevelType w:val="hybridMultilevel"/>
    <w:tmpl w:val="8C4E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66" style="mso-width-relative:margin;mso-height-relative:margin" fillcolor="white" stroke="f">
      <v:fill color="white"/>
      <v:stroke on="f"/>
      <v:textbox style="layout-flow:vertical;mso-layout-flow-alt:bottom-to-top"/>
      <o:colormenu v:ext="edit" strokecolor="none"/>
    </o:shapedefaults>
    <o:shapelayout v:ext="edit">
      <o:idmap v:ext="edit" data="1"/>
      <o:regrouptable v:ext="edit">
        <o:entry new="1" old="0"/>
      </o:regrouptable>
    </o:shapelayout>
  </w:hdrShapeDefaults>
  <w:footnotePr>
    <w:footnote w:id="-1"/>
    <w:footnote w:id="0"/>
  </w:footnotePr>
  <w:endnotePr>
    <w:endnote w:id="-1"/>
    <w:endnote w:id="0"/>
  </w:endnotePr>
  <w:compat>
    <w:useFELayout/>
    <w:compatSetting w:name="compatibilityMode" w:uri="http://schemas.microsoft.com/office/word" w:val="12"/>
  </w:compat>
  <w:rsids>
    <w:rsidRoot w:val="00BA3ED3"/>
    <w:rsid w:val="00010E99"/>
    <w:rsid w:val="000143FD"/>
    <w:rsid w:val="00044ECD"/>
    <w:rsid w:val="00080E84"/>
    <w:rsid w:val="0009041C"/>
    <w:rsid w:val="00095C15"/>
    <w:rsid w:val="000E1969"/>
    <w:rsid w:val="000F471C"/>
    <w:rsid w:val="000F535D"/>
    <w:rsid w:val="001155F3"/>
    <w:rsid w:val="0013008F"/>
    <w:rsid w:val="00136B1C"/>
    <w:rsid w:val="00146A28"/>
    <w:rsid w:val="0016416E"/>
    <w:rsid w:val="00170D2B"/>
    <w:rsid w:val="0017212E"/>
    <w:rsid w:val="00174474"/>
    <w:rsid w:val="00180515"/>
    <w:rsid w:val="001A73EB"/>
    <w:rsid w:val="001B28BE"/>
    <w:rsid w:val="001C5944"/>
    <w:rsid w:val="001E64F7"/>
    <w:rsid w:val="00220D1F"/>
    <w:rsid w:val="00226FE5"/>
    <w:rsid w:val="00264B93"/>
    <w:rsid w:val="00285609"/>
    <w:rsid w:val="002C5359"/>
    <w:rsid w:val="002F1591"/>
    <w:rsid w:val="00305DD4"/>
    <w:rsid w:val="00315FA4"/>
    <w:rsid w:val="003235F3"/>
    <w:rsid w:val="003276FC"/>
    <w:rsid w:val="0033629D"/>
    <w:rsid w:val="003678B5"/>
    <w:rsid w:val="003B0493"/>
    <w:rsid w:val="003B0933"/>
    <w:rsid w:val="003B2881"/>
    <w:rsid w:val="003C7E15"/>
    <w:rsid w:val="003E590E"/>
    <w:rsid w:val="00403F8D"/>
    <w:rsid w:val="00445E1A"/>
    <w:rsid w:val="0047537D"/>
    <w:rsid w:val="00477C52"/>
    <w:rsid w:val="0048331C"/>
    <w:rsid w:val="004858C9"/>
    <w:rsid w:val="00493F64"/>
    <w:rsid w:val="004A1965"/>
    <w:rsid w:val="004B283D"/>
    <w:rsid w:val="004C617F"/>
    <w:rsid w:val="004E63E7"/>
    <w:rsid w:val="004F071B"/>
    <w:rsid w:val="00510F10"/>
    <w:rsid w:val="005479AD"/>
    <w:rsid w:val="00572FD3"/>
    <w:rsid w:val="0058290E"/>
    <w:rsid w:val="00586CC2"/>
    <w:rsid w:val="00596B46"/>
    <w:rsid w:val="005A21A3"/>
    <w:rsid w:val="005B2E11"/>
    <w:rsid w:val="00680B7C"/>
    <w:rsid w:val="00683E42"/>
    <w:rsid w:val="006A1B6A"/>
    <w:rsid w:val="006F7BE6"/>
    <w:rsid w:val="007113CB"/>
    <w:rsid w:val="0071376E"/>
    <w:rsid w:val="00733274"/>
    <w:rsid w:val="00745610"/>
    <w:rsid w:val="00763C0B"/>
    <w:rsid w:val="007952C7"/>
    <w:rsid w:val="007956E2"/>
    <w:rsid w:val="007B5686"/>
    <w:rsid w:val="007D34DF"/>
    <w:rsid w:val="007E45EA"/>
    <w:rsid w:val="007F6CC0"/>
    <w:rsid w:val="0081660C"/>
    <w:rsid w:val="008A1427"/>
    <w:rsid w:val="008A317A"/>
    <w:rsid w:val="008B2358"/>
    <w:rsid w:val="008C6450"/>
    <w:rsid w:val="008E3F96"/>
    <w:rsid w:val="00902518"/>
    <w:rsid w:val="00933FBD"/>
    <w:rsid w:val="0095165B"/>
    <w:rsid w:val="00952217"/>
    <w:rsid w:val="00955C79"/>
    <w:rsid w:val="00970596"/>
    <w:rsid w:val="0099302F"/>
    <w:rsid w:val="009A4506"/>
    <w:rsid w:val="009A5047"/>
    <w:rsid w:val="00A019DB"/>
    <w:rsid w:val="00A94258"/>
    <w:rsid w:val="00AA1F6A"/>
    <w:rsid w:val="00AB3AF4"/>
    <w:rsid w:val="00AF41D6"/>
    <w:rsid w:val="00AF7A72"/>
    <w:rsid w:val="00B86B8F"/>
    <w:rsid w:val="00BA3ED3"/>
    <w:rsid w:val="00BE51C7"/>
    <w:rsid w:val="00BF2AB3"/>
    <w:rsid w:val="00BF5553"/>
    <w:rsid w:val="00C431AD"/>
    <w:rsid w:val="00C56504"/>
    <w:rsid w:val="00C657E1"/>
    <w:rsid w:val="00CA0156"/>
    <w:rsid w:val="00CA789C"/>
    <w:rsid w:val="00CC637C"/>
    <w:rsid w:val="00CE4879"/>
    <w:rsid w:val="00D33587"/>
    <w:rsid w:val="00D76264"/>
    <w:rsid w:val="00DB4C6F"/>
    <w:rsid w:val="00DB6C04"/>
    <w:rsid w:val="00DF7649"/>
    <w:rsid w:val="00E12FD0"/>
    <w:rsid w:val="00E33D2A"/>
    <w:rsid w:val="00E36E01"/>
    <w:rsid w:val="00E44CEE"/>
    <w:rsid w:val="00E8756E"/>
    <w:rsid w:val="00E93E6A"/>
    <w:rsid w:val="00EA0AD2"/>
    <w:rsid w:val="00EC5128"/>
    <w:rsid w:val="00ED36B1"/>
    <w:rsid w:val="00ED3CCB"/>
    <w:rsid w:val="00ED714C"/>
    <w:rsid w:val="00EE1B00"/>
    <w:rsid w:val="00EE218D"/>
    <w:rsid w:val="00EF60F6"/>
    <w:rsid w:val="00F0249F"/>
    <w:rsid w:val="00F044B7"/>
    <w:rsid w:val="00F23124"/>
    <w:rsid w:val="00F36485"/>
    <w:rsid w:val="00F44748"/>
    <w:rsid w:val="00F46FCD"/>
    <w:rsid w:val="00F5463A"/>
    <w:rsid w:val="00FA55C8"/>
    <w:rsid w:val="00FB34E3"/>
    <w:rsid w:val="00FC5C6F"/>
    <w:rsid w:val="00FD58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style="mso-width-relative:margin;mso-height-relative:margin" fillcolor="white" stroke="f">
      <v:fill color="white"/>
      <v:stroke on="f"/>
      <v:textbox style="layout-flow:vertical;mso-layout-flow-alt:bottom-to-top"/>
      <o:colormenu v:ext="edit" stroke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ED3"/>
    <w:pPr>
      <w:spacing w:after="200" w:line="276" w:lineRule="auto"/>
    </w:pPr>
    <w:rPr>
      <w:rFonts w:asciiTheme="minorHAnsi" w:eastAsiaTheme="minorHAnsi" w:hAnsiTheme="minorHAnsi"/>
    </w:rPr>
  </w:style>
  <w:style w:type="paragraph" w:styleId="Heading1">
    <w:name w:val="heading 1"/>
    <w:basedOn w:val="Normal"/>
    <w:next w:val="Normal"/>
    <w:link w:val="Heading1Char"/>
    <w:uiPriority w:val="9"/>
    <w:qFormat/>
    <w:rsid w:val="00403F8D"/>
    <w:pPr>
      <w:spacing w:before="480" w:after="0"/>
      <w:contextualSpacing/>
      <w:outlineLvl w:val="0"/>
    </w:pPr>
    <w:rPr>
      <w:rFonts w:ascii="Calibri" w:eastAsiaTheme="majorEastAsia" w:hAnsi="Calibri" w:cstheme="majorBidi"/>
      <w:b/>
      <w:bCs/>
      <w:sz w:val="28"/>
      <w:szCs w:val="28"/>
    </w:rPr>
  </w:style>
  <w:style w:type="paragraph" w:styleId="Heading2">
    <w:name w:val="heading 2"/>
    <w:basedOn w:val="Heading1"/>
    <w:next w:val="Normal"/>
    <w:link w:val="Heading2Char"/>
    <w:uiPriority w:val="9"/>
    <w:unhideWhenUsed/>
    <w:qFormat/>
    <w:rsid w:val="00403F8D"/>
    <w:pPr>
      <w:outlineLvl w:val="1"/>
    </w:pPr>
    <w:rPr>
      <w:sz w:val="26"/>
    </w:rPr>
  </w:style>
  <w:style w:type="paragraph" w:styleId="Heading3">
    <w:name w:val="heading 3"/>
    <w:basedOn w:val="Normal"/>
    <w:next w:val="Normal"/>
    <w:link w:val="Heading3Char"/>
    <w:uiPriority w:val="9"/>
    <w:unhideWhenUsed/>
    <w:qFormat/>
    <w:rsid w:val="00403F8D"/>
    <w:pPr>
      <w:spacing w:before="200" w:after="0" w:line="271" w:lineRule="auto"/>
      <w:outlineLvl w:val="2"/>
    </w:pPr>
    <w:rPr>
      <w:rFonts w:ascii="Calibri" w:eastAsiaTheme="majorEastAsia" w:hAnsi="Calibr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F8D"/>
    <w:rPr>
      <w:rFonts w:eastAsiaTheme="majorEastAsia" w:cstheme="majorBidi"/>
      <w:b/>
      <w:bCs/>
      <w:sz w:val="28"/>
      <w:szCs w:val="28"/>
    </w:rPr>
  </w:style>
  <w:style w:type="character" w:customStyle="1" w:styleId="Heading2Char">
    <w:name w:val="Heading 2 Char"/>
    <w:basedOn w:val="DefaultParagraphFont"/>
    <w:link w:val="Heading2"/>
    <w:uiPriority w:val="9"/>
    <w:rsid w:val="00403F8D"/>
    <w:rPr>
      <w:rFonts w:eastAsiaTheme="majorEastAsia" w:cstheme="majorBidi"/>
      <w:b/>
      <w:bCs/>
      <w:sz w:val="26"/>
      <w:szCs w:val="28"/>
    </w:rPr>
  </w:style>
  <w:style w:type="character" w:customStyle="1" w:styleId="Heading3Char">
    <w:name w:val="Heading 3 Char"/>
    <w:basedOn w:val="DefaultParagraphFont"/>
    <w:link w:val="Heading3"/>
    <w:uiPriority w:val="9"/>
    <w:rsid w:val="00403F8D"/>
    <w:rPr>
      <w:rFonts w:eastAsiaTheme="majorEastAsia" w:cstheme="majorBidi"/>
      <w:b/>
      <w:bCs/>
    </w:rPr>
  </w:style>
  <w:style w:type="paragraph" w:styleId="Title">
    <w:name w:val="Title"/>
    <w:basedOn w:val="Normal"/>
    <w:next w:val="Normal"/>
    <w:link w:val="TitleChar"/>
    <w:uiPriority w:val="10"/>
    <w:qFormat/>
    <w:rsid w:val="00403F8D"/>
    <w:pPr>
      <w:pBdr>
        <w:bottom w:val="single" w:sz="4" w:space="1" w:color="auto"/>
      </w:pBdr>
      <w:spacing w:line="240" w:lineRule="auto"/>
      <w:contextualSpacing/>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sid w:val="00403F8D"/>
    <w:rPr>
      <w:rFonts w:eastAsiaTheme="majorEastAsia" w:cstheme="majorBidi"/>
      <w:spacing w:val="5"/>
      <w:sz w:val="52"/>
      <w:szCs w:val="52"/>
    </w:rPr>
  </w:style>
  <w:style w:type="paragraph" w:styleId="Subtitle">
    <w:name w:val="Subtitle"/>
    <w:basedOn w:val="Normal"/>
    <w:next w:val="Normal"/>
    <w:link w:val="SubtitleChar"/>
    <w:uiPriority w:val="11"/>
    <w:qFormat/>
    <w:rsid w:val="00403F8D"/>
    <w:pPr>
      <w:spacing w:after="600"/>
    </w:pPr>
    <w:rPr>
      <w:rFonts w:ascii="Calibri" w:eastAsiaTheme="majorEastAsia" w:hAnsi="Calibri" w:cstheme="majorBidi"/>
      <w:i/>
      <w:iCs/>
      <w:spacing w:val="13"/>
      <w:sz w:val="24"/>
      <w:szCs w:val="24"/>
    </w:rPr>
  </w:style>
  <w:style w:type="character" w:customStyle="1" w:styleId="SubtitleChar">
    <w:name w:val="Subtitle Char"/>
    <w:basedOn w:val="DefaultParagraphFont"/>
    <w:link w:val="Subtitle"/>
    <w:uiPriority w:val="11"/>
    <w:rsid w:val="00403F8D"/>
    <w:rPr>
      <w:rFonts w:eastAsiaTheme="majorEastAsia" w:cstheme="majorBidi"/>
      <w:i/>
      <w:iCs/>
      <w:spacing w:val="13"/>
      <w:sz w:val="24"/>
      <w:szCs w:val="24"/>
    </w:rPr>
  </w:style>
  <w:style w:type="paragraph" w:styleId="Header">
    <w:name w:val="header"/>
    <w:basedOn w:val="Normal"/>
    <w:link w:val="HeaderChar"/>
    <w:uiPriority w:val="99"/>
    <w:rsid w:val="00BA3ED3"/>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BA3ED3"/>
    <w:rPr>
      <w:rFonts w:asciiTheme="minorHAnsi" w:eastAsiaTheme="minorHAnsi" w:hAnsiTheme="minorHAnsi"/>
      <w:sz w:val="24"/>
      <w:szCs w:val="24"/>
    </w:rPr>
  </w:style>
  <w:style w:type="paragraph" w:styleId="Footer">
    <w:name w:val="footer"/>
    <w:basedOn w:val="Normal"/>
    <w:link w:val="FooterChar"/>
    <w:uiPriority w:val="99"/>
    <w:rsid w:val="00BA3ED3"/>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BA3ED3"/>
    <w:rPr>
      <w:rFonts w:asciiTheme="minorHAnsi" w:eastAsiaTheme="minorHAnsi" w:hAnsiTheme="minorHAnsi"/>
      <w:sz w:val="24"/>
      <w:szCs w:val="24"/>
    </w:rPr>
  </w:style>
  <w:style w:type="table" w:styleId="TableGrid">
    <w:name w:val="Table Grid"/>
    <w:basedOn w:val="TableNormal"/>
    <w:rsid w:val="00BA3ED3"/>
    <w:rPr>
      <w:rFonts w:asciiTheme="minorHAnsi" w:eastAsiaTheme="minorHAnsi" w:hAnsi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A3ED3"/>
    <w:rPr>
      <w:sz w:val="16"/>
      <w:szCs w:val="16"/>
    </w:rPr>
  </w:style>
  <w:style w:type="paragraph" w:styleId="CommentText">
    <w:name w:val="annotation text"/>
    <w:basedOn w:val="Normal"/>
    <w:link w:val="CommentTextChar"/>
    <w:uiPriority w:val="99"/>
    <w:semiHidden/>
    <w:unhideWhenUsed/>
    <w:rsid w:val="00BA3ED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BA3ED3"/>
    <w:rPr>
      <w:rFonts w:asciiTheme="minorHAnsi" w:hAnsiTheme="minorHAnsi"/>
      <w:sz w:val="20"/>
      <w:szCs w:val="20"/>
    </w:rPr>
  </w:style>
  <w:style w:type="paragraph" w:styleId="BalloonText">
    <w:name w:val="Balloon Text"/>
    <w:basedOn w:val="Normal"/>
    <w:link w:val="BalloonTextChar"/>
    <w:uiPriority w:val="99"/>
    <w:semiHidden/>
    <w:unhideWhenUsed/>
    <w:rsid w:val="00BA3ED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A3ED3"/>
    <w:rPr>
      <w:rFonts w:ascii="Lucida Grande" w:eastAsiaTheme="minorHAnsi" w:hAnsi="Lucida Grande"/>
      <w:sz w:val="18"/>
      <w:szCs w:val="18"/>
    </w:rPr>
  </w:style>
  <w:style w:type="character" w:styleId="PageNumber">
    <w:name w:val="page number"/>
    <w:basedOn w:val="DefaultParagraphFont"/>
    <w:uiPriority w:val="99"/>
    <w:semiHidden/>
    <w:unhideWhenUsed/>
    <w:rsid w:val="008B2358"/>
  </w:style>
  <w:style w:type="paragraph" w:styleId="CommentSubject">
    <w:name w:val="annotation subject"/>
    <w:basedOn w:val="CommentText"/>
    <w:next w:val="CommentText"/>
    <w:link w:val="CommentSubjectChar"/>
    <w:uiPriority w:val="99"/>
    <w:semiHidden/>
    <w:unhideWhenUsed/>
    <w:rsid w:val="00902518"/>
    <w:rPr>
      <w:rFonts w:eastAsiaTheme="minorHAnsi"/>
      <w:b/>
      <w:bCs/>
    </w:rPr>
  </w:style>
  <w:style w:type="character" w:customStyle="1" w:styleId="CommentSubjectChar">
    <w:name w:val="Comment Subject Char"/>
    <w:basedOn w:val="CommentTextChar"/>
    <w:link w:val="CommentSubject"/>
    <w:uiPriority w:val="99"/>
    <w:semiHidden/>
    <w:rsid w:val="00902518"/>
    <w:rPr>
      <w:rFonts w:asciiTheme="minorHAnsi" w:eastAsiaTheme="minorHAnsi" w:hAnsiTheme="minorHAnsi"/>
      <w:b/>
      <w:bCs/>
      <w:sz w:val="20"/>
      <w:szCs w:val="20"/>
    </w:rPr>
  </w:style>
  <w:style w:type="paragraph" w:styleId="ListParagraph">
    <w:name w:val="List Paragraph"/>
    <w:basedOn w:val="Normal"/>
    <w:qFormat/>
    <w:rsid w:val="00E8756E"/>
    <w:pPr>
      <w:ind w:left="720"/>
      <w:contextualSpacing/>
    </w:pPr>
    <w:rPr>
      <w:rFonts w:eastAsiaTheme="minorEastAsia"/>
    </w:rPr>
  </w:style>
  <w:style w:type="paragraph" w:styleId="Revision">
    <w:name w:val="Revision"/>
    <w:hidden/>
    <w:uiPriority w:val="99"/>
    <w:semiHidden/>
    <w:rsid w:val="001155F3"/>
    <w:rPr>
      <w:rFonts w:asciiTheme="minorHAnsi" w:eastAsia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ED3"/>
    <w:pPr>
      <w:spacing w:after="200" w:line="276" w:lineRule="auto"/>
    </w:pPr>
    <w:rPr>
      <w:rFonts w:asciiTheme="minorHAnsi" w:eastAsiaTheme="minorHAnsi" w:hAnsiTheme="minorHAnsi"/>
    </w:rPr>
  </w:style>
  <w:style w:type="paragraph" w:styleId="Heading1">
    <w:name w:val="heading 1"/>
    <w:basedOn w:val="Normal"/>
    <w:next w:val="Normal"/>
    <w:link w:val="Heading1Char"/>
    <w:uiPriority w:val="9"/>
    <w:qFormat/>
    <w:rsid w:val="00403F8D"/>
    <w:pPr>
      <w:spacing w:before="480" w:after="0"/>
      <w:contextualSpacing/>
      <w:outlineLvl w:val="0"/>
    </w:pPr>
    <w:rPr>
      <w:rFonts w:ascii="Calibri" w:eastAsiaTheme="majorEastAsia" w:hAnsi="Calibri" w:cstheme="majorBidi"/>
      <w:b/>
      <w:bCs/>
      <w:sz w:val="28"/>
      <w:szCs w:val="28"/>
    </w:rPr>
  </w:style>
  <w:style w:type="paragraph" w:styleId="Heading2">
    <w:name w:val="heading 2"/>
    <w:basedOn w:val="Heading1"/>
    <w:next w:val="Normal"/>
    <w:link w:val="Heading2Char"/>
    <w:uiPriority w:val="9"/>
    <w:unhideWhenUsed/>
    <w:qFormat/>
    <w:rsid w:val="00403F8D"/>
    <w:pPr>
      <w:outlineLvl w:val="1"/>
    </w:pPr>
    <w:rPr>
      <w:sz w:val="26"/>
    </w:rPr>
  </w:style>
  <w:style w:type="paragraph" w:styleId="Heading3">
    <w:name w:val="heading 3"/>
    <w:basedOn w:val="Normal"/>
    <w:next w:val="Normal"/>
    <w:link w:val="Heading3Char"/>
    <w:uiPriority w:val="9"/>
    <w:unhideWhenUsed/>
    <w:qFormat/>
    <w:rsid w:val="00403F8D"/>
    <w:pPr>
      <w:spacing w:before="200" w:after="0" w:line="271" w:lineRule="auto"/>
      <w:outlineLvl w:val="2"/>
    </w:pPr>
    <w:rPr>
      <w:rFonts w:ascii="Calibri" w:eastAsiaTheme="majorEastAsia" w:hAnsi="Calibr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F8D"/>
    <w:rPr>
      <w:rFonts w:eastAsiaTheme="majorEastAsia" w:cstheme="majorBidi"/>
      <w:b/>
      <w:bCs/>
      <w:sz w:val="28"/>
      <w:szCs w:val="28"/>
    </w:rPr>
  </w:style>
  <w:style w:type="character" w:customStyle="1" w:styleId="Heading2Char">
    <w:name w:val="Heading 2 Char"/>
    <w:basedOn w:val="DefaultParagraphFont"/>
    <w:link w:val="Heading2"/>
    <w:uiPriority w:val="9"/>
    <w:rsid w:val="00403F8D"/>
    <w:rPr>
      <w:rFonts w:eastAsiaTheme="majorEastAsia" w:cstheme="majorBidi"/>
      <w:b/>
      <w:bCs/>
      <w:sz w:val="26"/>
      <w:szCs w:val="28"/>
    </w:rPr>
  </w:style>
  <w:style w:type="character" w:customStyle="1" w:styleId="Heading3Char">
    <w:name w:val="Heading 3 Char"/>
    <w:basedOn w:val="DefaultParagraphFont"/>
    <w:link w:val="Heading3"/>
    <w:uiPriority w:val="9"/>
    <w:rsid w:val="00403F8D"/>
    <w:rPr>
      <w:rFonts w:eastAsiaTheme="majorEastAsia" w:cstheme="majorBidi"/>
      <w:b/>
      <w:bCs/>
    </w:rPr>
  </w:style>
  <w:style w:type="paragraph" w:styleId="Title">
    <w:name w:val="Title"/>
    <w:basedOn w:val="Normal"/>
    <w:next w:val="Normal"/>
    <w:link w:val="TitleChar"/>
    <w:uiPriority w:val="10"/>
    <w:qFormat/>
    <w:rsid w:val="00403F8D"/>
    <w:pPr>
      <w:pBdr>
        <w:bottom w:val="single" w:sz="4" w:space="1" w:color="auto"/>
      </w:pBdr>
      <w:spacing w:line="240" w:lineRule="auto"/>
      <w:contextualSpacing/>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sid w:val="00403F8D"/>
    <w:rPr>
      <w:rFonts w:eastAsiaTheme="majorEastAsia" w:cstheme="majorBidi"/>
      <w:spacing w:val="5"/>
      <w:sz w:val="52"/>
      <w:szCs w:val="52"/>
    </w:rPr>
  </w:style>
  <w:style w:type="paragraph" w:styleId="Subtitle">
    <w:name w:val="Subtitle"/>
    <w:basedOn w:val="Normal"/>
    <w:next w:val="Normal"/>
    <w:link w:val="SubtitleChar"/>
    <w:uiPriority w:val="11"/>
    <w:qFormat/>
    <w:rsid w:val="00403F8D"/>
    <w:pPr>
      <w:spacing w:after="600"/>
    </w:pPr>
    <w:rPr>
      <w:rFonts w:ascii="Calibri" w:eastAsiaTheme="majorEastAsia" w:hAnsi="Calibri" w:cstheme="majorBidi"/>
      <w:i/>
      <w:iCs/>
      <w:spacing w:val="13"/>
      <w:sz w:val="24"/>
      <w:szCs w:val="24"/>
    </w:rPr>
  </w:style>
  <w:style w:type="character" w:customStyle="1" w:styleId="SubtitleChar">
    <w:name w:val="Subtitle Char"/>
    <w:basedOn w:val="DefaultParagraphFont"/>
    <w:link w:val="Subtitle"/>
    <w:uiPriority w:val="11"/>
    <w:rsid w:val="00403F8D"/>
    <w:rPr>
      <w:rFonts w:eastAsiaTheme="majorEastAsia" w:cstheme="majorBidi"/>
      <w:i/>
      <w:iCs/>
      <w:spacing w:val="13"/>
      <w:sz w:val="24"/>
      <w:szCs w:val="24"/>
    </w:rPr>
  </w:style>
  <w:style w:type="paragraph" w:styleId="Header">
    <w:name w:val="header"/>
    <w:basedOn w:val="Normal"/>
    <w:link w:val="HeaderChar"/>
    <w:uiPriority w:val="99"/>
    <w:rsid w:val="00BA3ED3"/>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BA3ED3"/>
    <w:rPr>
      <w:rFonts w:asciiTheme="minorHAnsi" w:eastAsiaTheme="minorHAnsi" w:hAnsiTheme="minorHAnsi"/>
      <w:sz w:val="24"/>
      <w:szCs w:val="24"/>
    </w:rPr>
  </w:style>
  <w:style w:type="paragraph" w:styleId="Footer">
    <w:name w:val="footer"/>
    <w:basedOn w:val="Normal"/>
    <w:link w:val="FooterChar"/>
    <w:uiPriority w:val="99"/>
    <w:rsid w:val="00BA3ED3"/>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BA3ED3"/>
    <w:rPr>
      <w:rFonts w:asciiTheme="minorHAnsi" w:eastAsiaTheme="minorHAnsi" w:hAnsiTheme="minorHAnsi"/>
      <w:sz w:val="24"/>
      <w:szCs w:val="24"/>
    </w:rPr>
  </w:style>
  <w:style w:type="table" w:styleId="TableGrid">
    <w:name w:val="Table Grid"/>
    <w:basedOn w:val="TableNormal"/>
    <w:rsid w:val="00BA3ED3"/>
    <w:rPr>
      <w:rFonts w:asciiTheme="minorHAnsi" w:eastAsiaTheme="minorHAnsi" w:hAnsi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A3ED3"/>
    <w:rPr>
      <w:sz w:val="16"/>
      <w:szCs w:val="16"/>
    </w:rPr>
  </w:style>
  <w:style w:type="paragraph" w:styleId="CommentText">
    <w:name w:val="annotation text"/>
    <w:basedOn w:val="Normal"/>
    <w:link w:val="CommentTextChar"/>
    <w:uiPriority w:val="99"/>
    <w:semiHidden/>
    <w:unhideWhenUsed/>
    <w:rsid w:val="00BA3ED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BA3ED3"/>
    <w:rPr>
      <w:rFonts w:asciiTheme="minorHAnsi" w:hAnsiTheme="minorHAnsi"/>
      <w:sz w:val="20"/>
      <w:szCs w:val="20"/>
    </w:rPr>
  </w:style>
  <w:style w:type="paragraph" w:styleId="BalloonText">
    <w:name w:val="Balloon Text"/>
    <w:basedOn w:val="Normal"/>
    <w:link w:val="BalloonTextChar"/>
    <w:uiPriority w:val="99"/>
    <w:semiHidden/>
    <w:unhideWhenUsed/>
    <w:rsid w:val="00BA3ED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A3ED3"/>
    <w:rPr>
      <w:rFonts w:ascii="Lucida Grande" w:eastAsiaTheme="minorHAnsi" w:hAnsi="Lucida Grande"/>
      <w:sz w:val="18"/>
      <w:szCs w:val="18"/>
    </w:rPr>
  </w:style>
  <w:style w:type="character" w:styleId="PageNumber">
    <w:name w:val="page number"/>
    <w:basedOn w:val="DefaultParagraphFont"/>
    <w:uiPriority w:val="99"/>
    <w:semiHidden/>
    <w:unhideWhenUsed/>
    <w:rsid w:val="008B2358"/>
  </w:style>
  <w:style w:type="paragraph" w:styleId="CommentSubject">
    <w:name w:val="annotation subject"/>
    <w:basedOn w:val="CommentText"/>
    <w:next w:val="CommentText"/>
    <w:link w:val="CommentSubjectChar"/>
    <w:uiPriority w:val="99"/>
    <w:semiHidden/>
    <w:unhideWhenUsed/>
    <w:rsid w:val="00902518"/>
    <w:rPr>
      <w:rFonts w:eastAsiaTheme="minorHAnsi"/>
      <w:b/>
      <w:bCs/>
    </w:rPr>
  </w:style>
  <w:style w:type="character" w:customStyle="1" w:styleId="CommentSubjectChar">
    <w:name w:val="Comment Subject Char"/>
    <w:basedOn w:val="CommentTextChar"/>
    <w:link w:val="CommentSubject"/>
    <w:uiPriority w:val="99"/>
    <w:semiHidden/>
    <w:rsid w:val="00902518"/>
    <w:rPr>
      <w:rFonts w:asciiTheme="minorHAnsi" w:eastAsiaTheme="minorHAnsi" w:hAnsiTheme="minorHAnsi"/>
      <w:b/>
      <w:bCs/>
      <w:sz w:val="20"/>
      <w:szCs w:val="20"/>
    </w:rPr>
  </w:style>
  <w:style w:type="paragraph" w:styleId="ListParagraph">
    <w:name w:val="List Paragraph"/>
    <w:basedOn w:val="Normal"/>
    <w:qFormat/>
    <w:rsid w:val="00E8756E"/>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9214F-C799-4247-9789-421EA64D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Knox College</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dc:creator>
  <cp:lastModifiedBy>Chandana</cp:lastModifiedBy>
  <cp:revision>50</cp:revision>
  <cp:lastPrinted>2014-03-31T16:20:00Z</cp:lastPrinted>
  <dcterms:created xsi:type="dcterms:W3CDTF">2014-01-03T21:29:00Z</dcterms:created>
  <dcterms:modified xsi:type="dcterms:W3CDTF">2014-09-17T15:35:00Z</dcterms:modified>
</cp:coreProperties>
</file>