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86A2" w14:textId="77777777" w:rsidR="0053720F" w:rsidRPr="00ED7BCD" w:rsidRDefault="0053720F" w:rsidP="0053720F">
      <w:pPr>
        <w:rPr>
          <w:rFonts w:ascii="Times New Roman" w:hAnsi="Times New Roman" w:cs="Times New Roman"/>
        </w:rPr>
      </w:pPr>
    </w:p>
    <w:tbl>
      <w:tblPr>
        <w:tblStyle w:val="TableGrid"/>
        <w:tblW w:w="13428" w:type="dxa"/>
        <w:tblInd w:w="558" w:type="dxa"/>
        <w:tblLook w:val="04A0" w:firstRow="1" w:lastRow="0" w:firstColumn="1" w:lastColumn="0" w:noHBand="0" w:noVBand="1"/>
      </w:tblPr>
      <w:tblGrid>
        <w:gridCol w:w="1070"/>
        <w:gridCol w:w="6042"/>
        <w:gridCol w:w="6316"/>
      </w:tblGrid>
      <w:tr w:rsidR="0053720F" w:rsidRPr="00ED7BCD" w14:paraId="536F85D0" w14:textId="77777777" w:rsidTr="0013029D">
        <w:tc>
          <w:tcPr>
            <w:tcW w:w="1070" w:type="dxa"/>
          </w:tcPr>
          <w:p w14:paraId="08FEDDC1" w14:textId="77777777" w:rsidR="0053720F" w:rsidRPr="00ED7BCD" w:rsidRDefault="0053720F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Bés yi </w:t>
            </w:r>
          </w:p>
        </w:tc>
        <w:tc>
          <w:tcPr>
            <w:tcW w:w="6042" w:type="dxa"/>
          </w:tcPr>
          <w:p w14:paraId="348DF3FB" w14:textId="77777777" w:rsidR="0053720F" w:rsidRPr="00ED7BCD" w:rsidRDefault="0053720F" w:rsidP="0013029D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 xml:space="preserve">Before class </w:t>
            </w:r>
          </w:p>
        </w:tc>
        <w:tc>
          <w:tcPr>
            <w:tcW w:w="6316" w:type="dxa"/>
          </w:tcPr>
          <w:p w14:paraId="44D5A6DF" w14:textId="77777777" w:rsidR="0053720F" w:rsidRPr="00ED7BCD" w:rsidRDefault="0053720F" w:rsidP="0013029D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Activities and tasks in class</w:t>
            </w:r>
          </w:p>
        </w:tc>
      </w:tr>
      <w:tr w:rsidR="0053720F" w:rsidRPr="00ED7BCD" w14:paraId="2B388F3C" w14:textId="77777777" w:rsidTr="0013029D">
        <w:tc>
          <w:tcPr>
            <w:tcW w:w="1070" w:type="dxa"/>
          </w:tcPr>
          <w:p w14:paraId="786D5D5E" w14:textId="77777777" w:rsidR="0053720F" w:rsidRPr="00ED7BCD" w:rsidRDefault="0053720F" w:rsidP="0013029D">
            <w:pPr>
              <w:rPr>
                <w:rFonts w:cs="Times New Roman"/>
              </w:rPr>
            </w:pPr>
          </w:p>
          <w:p w14:paraId="16A3D311" w14:textId="77777777" w:rsidR="0053720F" w:rsidRPr="00ED7BCD" w:rsidRDefault="0053720F" w:rsidP="0013029D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Altiné</w:t>
            </w:r>
          </w:p>
          <w:p w14:paraId="25E4E6A7" w14:textId="77777777" w:rsidR="0053720F" w:rsidRPr="00ED7BCD" w:rsidRDefault="0013029D" w:rsidP="001302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</w:t>
            </w:r>
          </w:p>
        </w:tc>
        <w:tc>
          <w:tcPr>
            <w:tcW w:w="6042" w:type="dxa"/>
          </w:tcPr>
          <w:p w14:paraId="59716657" w14:textId="77777777" w:rsidR="0013029D" w:rsidRDefault="0053720F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13029D">
              <w:rPr>
                <w:rFonts w:cs="Times New Roman"/>
              </w:rPr>
              <w:t>Review: Ci fajukaay bi, Sibbiru (màndarga yi, paj mi, fagaru)</w:t>
            </w:r>
          </w:p>
          <w:p w14:paraId="6E6FF0FE" w14:textId="77777777" w:rsidR="0013029D" w:rsidRDefault="0013029D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>*Review the new vocabulary covered in Week 2</w:t>
            </w:r>
          </w:p>
          <w:p w14:paraId="72F4DE7B" w14:textId="20D24AD4" w:rsidR="002F2F8A" w:rsidRPr="00ED7BCD" w:rsidRDefault="002F2F8A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>*Check the various files under the schedule of Ayubés 3</w:t>
            </w:r>
          </w:p>
          <w:p w14:paraId="577D34DC" w14:textId="77777777" w:rsidR="0053720F" w:rsidRPr="00ED7BCD" w:rsidRDefault="0053720F" w:rsidP="0013029D">
            <w:pPr>
              <w:rPr>
                <w:rFonts w:cs="Times New Roman"/>
              </w:rPr>
            </w:pPr>
          </w:p>
        </w:tc>
        <w:tc>
          <w:tcPr>
            <w:tcW w:w="6316" w:type="dxa"/>
          </w:tcPr>
          <w:p w14:paraId="5A7F2798" w14:textId="5B1EC889" w:rsidR="00F4534C" w:rsidRDefault="00F4534C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>Exercises</w:t>
            </w:r>
          </w:p>
          <w:p w14:paraId="7961CE09" w14:textId="77777777" w:rsidR="0013029D" w:rsidRDefault="0053720F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13029D">
              <w:rPr>
                <w:rFonts w:cs="Times New Roman"/>
              </w:rPr>
              <w:t xml:space="preserve">Nanu méngalé! (Let’s match!) </w:t>
            </w:r>
          </w:p>
          <w:p w14:paraId="382A219C" w14:textId="77777777" w:rsidR="0013029D" w:rsidRDefault="0013029D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*Nanu mottali! (Let’s complete) </w:t>
            </w:r>
          </w:p>
          <w:p w14:paraId="43583EB4" w14:textId="77777777" w:rsidR="0013029D" w:rsidRDefault="0013029D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*Tekki: With the direct/indirect object pronouns </w:t>
            </w:r>
          </w:p>
          <w:p w14:paraId="47001333" w14:textId="28BC026F" w:rsidR="00F4534C" w:rsidRPr="00E058F7" w:rsidRDefault="00F4534C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0D01BE">
              <w:rPr>
                <w:rFonts w:cs="Times New Roman"/>
              </w:rPr>
              <w:t xml:space="preserve">Mbind ak Waxtaan: Students will discuss with a partner and then give a short summary to the class </w:t>
            </w:r>
          </w:p>
          <w:p w14:paraId="2B6A61D9" w14:textId="77777777" w:rsidR="0053720F" w:rsidRPr="00E058F7" w:rsidRDefault="0053720F" w:rsidP="0013029D">
            <w:pPr>
              <w:rPr>
                <w:rFonts w:cs="Times New Roman"/>
              </w:rPr>
            </w:pPr>
          </w:p>
        </w:tc>
      </w:tr>
      <w:tr w:rsidR="0053720F" w:rsidRPr="00ED7BCD" w14:paraId="2A71DE2B" w14:textId="77777777" w:rsidTr="0013029D">
        <w:tc>
          <w:tcPr>
            <w:tcW w:w="1070" w:type="dxa"/>
          </w:tcPr>
          <w:p w14:paraId="33DBBCA0" w14:textId="77777777" w:rsidR="0053720F" w:rsidRPr="00ED7BCD" w:rsidRDefault="0053720F" w:rsidP="0013029D">
            <w:pPr>
              <w:rPr>
                <w:rFonts w:cs="Times New Roman"/>
              </w:rPr>
            </w:pPr>
          </w:p>
          <w:p w14:paraId="0FE01913" w14:textId="77777777" w:rsidR="0053720F" w:rsidRPr="00ED7BCD" w:rsidRDefault="0053720F" w:rsidP="0013029D">
            <w:pPr>
              <w:jc w:val="center"/>
              <w:rPr>
                <w:rFonts w:cs="Times New Roman"/>
              </w:rPr>
            </w:pPr>
          </w:p>
          <w:p w14:paraId="232EA44D" w14:textId="77777777" w:rsidR="0053720F" w:rsidRPr="00ED7BCD" w:rsidRDefault="0013029D" w:rsidP="001302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Talaata 2/3</w:t>
            </w:r>
          </w:p>
        </w:tc>
        <w:tc>
          <w:tcPr>
            <w:tcW w:w="6042" w:type="dxa"/>
          </w:tcPr>
          <w:p w14:paraId="4F61F2DE" w14:textId="77777777" w:rsidR="0053720F" w:rsidRDefault="0053720F" w:rsidP="00182FAE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182FAE">
              <w:rPr>
                <w:rFonts w:cs="Times New Roman"/>
              </w:rPr>
              <w:t xml:space="preserve">Watch the song </w:t>
            </w:r>
            <w:r w:rsidR="00182FAE" w:rsidRPr="00182FAE">
              <w:rPr>
                <w:rFonts w:cs="Times New Roman"/>
                <w:i/>
              </w:rPr>
              <w:t>Sibbiru</w:t>
            </w:r>
            <w:r w:rsidR="00182FAE">
              <w:rPr>
                <w:rFonts w:cs="Times New Roman"/>
              </w:rPr>
              <w:t xml:space="preserve"> by Omar and Fata</w:t>
            </w:r>
          </w:p>
          <w:p w14:paraId="7BAF00C4" w14:textId="77777777" w:rsidR="00182FAE" w:rsidRDefault="00182FAE" w:rsidP="00182F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Link: </w:t>
            </w:r>
            <w:hyperlink r:id="rId7" w:history="1">
              <w:r w:rsidRPr="00315D39">
                <w:rPr>
                  <w:rStyle w:val="Hyperlink"/>
                  <w:rFonts w:cs="Times New Roman"/>
                </w:rPr>
                <w:t>https://www.youtube.com/watch?v=lPou4sND9uw</w:t>
              </w:r>
            </w:hyperlink>
            <w:r>
              <w:rPr>
                <w:rFonts w:cs="Times New Roman"/>
              </w:rPr>
              <w:t xml:space="preserve"> </w:t>
            </w:r>
          </w:p>
          <w:p w14:paraId="03BD6268" w14:textId="77777777" w:rsidR="00182FAE" w:rsidRDefault="00182FAE" w:rsidP="00182FAE">
            <w:pPr>
              <w:rPr>
                <w:rFonts w:cs="Times New Roman"/>
              </w:rPr>
            </w:pPr>
            <w:r>
              <w:rPr>
                <w:rFonts w:cs="Times New Roman"/>
              </w:rPr>
              <w:t>NB: Also available under Week 3 schedule.</w:t>
            </w:r>
          </w:p>
          <w:p w14:paraId="1374E55C" w14:textId="77777777" w:rsidR="009A754B" w:rsidRDefault="009A754B" w:rsidP="009A754B">
            <w:pPr>
              <w:rPr>
                <w:rFonts w:ascii="Times" w:eastAsia="Times New Roman" w:hAnsi="Symbol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*Respond to the questions about the video </w:t>
            </w:r>
          </w:p>
          <w:p w14:paraId="068FA908" w14:textId="77777777" w:rsidR="0053720F" w:rsidRPr="009A754B" w:rsidRDefault="009A754B" w:rsidP="009A754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1.</w:t>
            </w:r>
            <w:r w:rsidRPr="009A754B">
              <w:rPr>
                <w:rFonts w:ascii="Times" w:eastAsia="Times New Roman" w:hAnsi="Times" w:cs="Times New Roman"/>
                <w:sz w:val="20"/>
                <w:szCs w:val="20"/>
              </w:rPr>
              <w:t>Nan la waykat yi tudd?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2.</w:t>
            </w:r>
            <w:r w:rsidRPr="009A754B">
              <w:rPr>
                <w:rFonts w:ascii="Times" w:eastAsia="Times New Roman" w:hAnsi="Times" w:cs="Times New Roman"/>
                <w:sz w:val="20"/>
                <w:szCs w:val="20"/>
              </w:rPr>
              <w:t>Ci lan la way wi wax?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3.</w:t>
            </w:r>
            <w:r w:rsidRPr="009A754B">
              <w:rPr>
                <w:rFonts w:ascii="Times" w:eastAsia="Times New Roman" w:hAnsi="Times" w:cs="Times New Roman"/>
                <w:sz w:val="20"/>
                <w:szCs w:val="20"/>
              </w:rPr>
              <w:t>Bindal fukki baat yu nga fàttaliku ci li waykat yi wax? (10 words you can remember from the song)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4.</w:t>
            </w:r>
            <w:r w:rsidRPr="009A754B">
              <w:rPr>
                <w:rFonts w:ascii="Times" w:eastAsia="Times New Roman" w:hAnsi="Times" w:cs="Times New Roman"/>
                <w:sz w:val="20"/>
                <w:szCs w:val="20"/>
              </w:rPr>
              <w:t>Waxal lan nga xalaat ci way wi! (a short paragraph)</w:t>
            </w:r>
          </w:p>
        </w:tc>
        <w:tc>
          <w:tcPr>
            <w:tcW w:w="6316" w:type="dxa"/>
          </w:tcPr>
          <w:p w14:paraId="50544AA2" w14:textId="77777777" w:rsidR="009A754B" w:rsidRDefault="0053720F" w:rsidP="009A754B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9A754B">
              <w:rPr>
                <w:rFonts w:cs="Times New Roman"/>
              </w:rPr>
              <w:t xml:space="preserve">Way (Song): </w:t>
            </w:r>
            <w:r w:rsidR="009A754B">
              <w:rPr>
                <w:rFonts w:cs="Times New Roman"/>
                <w:i/>
              </w:rPr>
              <w:t xml:space="preserve">Sibbiru </w:t>
            </w:r>
          </w:p>
          <w:p w14:paraId="4CC00191" w14:textId="77777777" w:rsidR="009A754B" w:rsidRDefault="009A754B" w:rsidP="009A754B">
            <w:pPr>
              <w:rPr>
                <w:rFonts w:cs="Times New Roman"/>
              </w:rPr>
            </w:pPr>
            <w:r>
              <w:rPr>
                <w:rFonts w:cs="Times New Roman"/>
              </w:rPr>
              <w:t>*Mbind ak waxtaan ci li way wi wax ci sibbiru</w:t>
            </w:r>
          </w:p>
          <w:p w14:paraId="7D08F3E9" w14:textId="77777777" w:rsidR="009A754B" w:rsidRPr="009A754B" w:rsidRDefault="009A754B" w:rsidP="009A75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*Laaj ak tontu ci feebaru sibbiru </w:t>
            </w:r>
          </w:p>
          <w:p w14:paraId="5B82227C" w14:textId="77777777" w:rsidR="0053720F" w:rsidRPr="00ED7BCD" w:rsidRDefault="0053720F" w:rsidP="0013029D">
            <w:pPr>
              <w:rPr>
                <w:rFonts w:cs="Times New Roman"/>
              </w:rPr>
            </w:pPr>
          </w:p>
        </w:tc>
      </w:tr>
      <w:tr w:rsidR="0053720F" w:rsidRPr="00ED7BCD" w14:paraId="03E5D370" w14:textId="77777777" w:rsidTr="0013029D">
        <w:tc>
          <w:tcPr>
            <w:tcW w:w="1070" w:type="dxa"/>
          </w:tcPr>
          <w:p w14:paraId="6D64D968" w14:textId="77777777" w:rsidR="0053720F" w:rsidRPr="00ED7BCD" w:rsidRDefault="0053720F" w:rsidP="0013029D">
            <w:pPr>
              <w:rPr>
                <w:rFonts w:cs="Times New Roman"/>
              </w:rPr>
            </w:pPr>
          </w:p>
          <w:p w14:paraId="50F5570D" w14:textId="77777777" w:rsidR="0053720F" w:rsidRPr="00ED7BCD" w:rsidRDefault="0053720F" w:rsidP="0013029D">
            <w:pPr>
              <w:jc w:val="center"/>
              <w:rPr>
                <w:rFonts w:cs="Times New Roman"/>
              </w:rPr>
            </w:pPr>
          </w:p>
          <w:p w14:paraId="6F1979B1" w14:textId="77777777" w:rsidR="0053720F" w:rsidRPr="00ED7BCD" w:rsidRDefault="0053720F" w:rsidP="0013029D">
            <w:pPr>
              <w:jc w:val="center"/>
              <w:rPr>
                <w:rFonts w:cs="Times New Roman"/>
              </w:rPr>
            </w:pPr>
          </w:p>
          <w:p w14:paraId="3F5E71B0" w14:textId="77777777" w:rsidR="0053720F" w:rsidRPr="00ED7BCD" w:rsidRDefault="0053720F" w:rsidP="0013029D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Àllarba</w:t>
            </w:r>
          </w:p>
          <w:p w14:paraId="253C467B" w14:textId="77777777" w:rsidR="0053720F" w:rsidRPr="00ED7BCD" w:rsidRDefault="0013029D" w:rsidP="001302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2/4</w:t>
            </w:r>
          </w:p>
        </w:tc>
        <w:tc>
          <w:tcPr>
            <w:tcW w:w="6042" w:type="dxa"/>
          </w:tcPr>
          <w:p w14:paraId="1468927C" w14:textId="77777777" w:rsidR="0053720F" w:rsidRDefault="0053720F" w:rsidP="009A754B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40708C">
              <w:rPr>
                <w:rFonts w:cs="Times New Roman"/>
              </w:rPr>
              <w:t xml:space="preserve">Study about ways of using “If” in Wolof: Go to the grammar section, under </w:t>
            </w:r>
            <w:r w:rsidR="0040708C">
              <w:rPr>
                <w:rFonts w:cs="Times New Roman"/>
                <w:b/>
                <w:i/>
              </w:rPr>
              <w:t>Ayubés 3</w:t>
            </w:r>
            <w:r w:rsidR="0040708C">
              <w:rPr>
                <w:rFonts w:cs="Times New Roman"/>
              </w:rPr>
              <w:t>.</w:t>
            </w:r>
          </w:p>
          <w:p w14:paraId="0AC86290" w14:textId="77777777" w:rsidR="000A47A8" w:rsidRPr="0040708C" w:rsidRDefault="000A47A8" w:rsidP="009A754B">
            <w:pPr>
              <w:rPr>
                <w:rFonts w:cs="Times New Roman"/>
              </w:rPr>
            </w:pPr>
            <w:r>
              <w:rPr>
                <w:rFonts w:cs="Times New Roman"/>
              </w:rPr>
              <w:t>*Based on the examples provided, do more practice with writing various other examples.</w:t>
            </w:r>
          </w:p>
          <w:p w14:paraId="4479D4AD" w14:textId="77777777" w:rsidR="0053720F" w:rsidRPr="00ED7BCD" w:rsidRDefault="0053720F" w:rsidP="0013029D">
            <w:pPr>
              <w:rPr>
                <w:rFonts w:cs="Times New Roman"/>
              </w:rPr>
            </w:pPr>
            <w:r w:rsidRPr="00ED7BCD">
              <w:rPr>
                <w:rFonts w:cs="Times New Roman"/>
              </w:rPr>
              <w:t xml:space="preserve"> </w:t>
            </w:r>
          </w:p>
        </w:tc>
        <w:tc>
          <w:tcPr>
            <w:tcW w:w="6316" w:type="dxa"/>
          </w:tcPr>
          <w:p w14:paraId="10E0CAB1" w14:textId="77777777" w:rsidR="008F04C2" w:rsidRDefault="0053720F" w:rsidP="008F04C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8F04C2">
              <w:rPr>
                <w:rFonts w:cs="Times New Roman"/>
              </w:rPr>
              <w:t>Mbind: Buma feebar</w:t>
            </w:r>
            <w:r w:rsidR="008F04C2" w:rsidRPr="008F04C2">
              <w:rPr>
                <w:rFonts w:cs="Times New Roman"/>
                <w:b/>
              </w:rPr>
              <w:t>ee</w:t>
            </w:r>
            <w:r w:rsidR="008F04C2">
              <w:rPr>
                <w:rFonts w:cs="Times New Roman"/>
              </w:rPr>
              <w:t xml:space="preserve">, dinaa sseeti fajkat </w:t>
            </w:r>
          </w:p>
          <w:p w14:paraId="1ACC939D" w14:textId="77777777" w:rsidR="008F04C2" w:rsidRDefault="008F04C2" w:rsidP="008F04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Introducing the use of “If” expressions </w:t>
            </w:r>
          </w:p>
          <w:p w14:paraId="3547A110" w14:textId="77777777" w:rsidR="008F04C2" w:rsidRDefault="008F04C2" w:rsidP="008F04C2">
            <w:pPr>
              <w:rPr>
                <w:rFonts w:cs="Times New Roman"/>
                <w:b/>
              </w:rPr>
            </w:pPr>
            <w:r w:rsidRPr="008F04C2">
              <w:rPr>
                <w:rFonts w:cs="Times New Roman"/>
                <w:b/>
              </w:rPr>
              <w:t>Buma, Boo, Bu, Bunu, Buléén, Buñu</w:t>
            </w:r>
          </w:p>
          <w:p w14:paraId="17FAB10A" w14:textId="77777777" w:rsidR="000A47A8" w:rsidRDefault="000A47A8" w:rsidP="008F04C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* </w:t>
            </w:r>
            <w:r>
              <w:rPr>
                <w:rFonts w:cs="Times New Roman"/>
                <w:i/>
              </w:rPr>
              <w:t xml:space="preserve">If </w:t>
            </w:r>
            <w:r>
              <w:rPr>
                <w:rFonts w:cs="Times New Roman"/>
              </w:rPr>
              <w:t xml:space="preserve">used in a statement with the negative form </w:t>
            </w:r>
          </w:p>
          <w:p w14:paraId="07669864" w14:textId="77777777" w:rsidR="000A47A8" w:rsidRPr="000A47A8" w:rsidRDefault="000A47A8" w:rsidP="008F04C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Buma </w:t>
            </w:r>
            <w:r>
              <w:rPr>
                <w:rFonts w:cs="Times New Roman"/>
              </w:rPr>
              <w:t>dem</w:t>
            </w:r>
            <w:r>
              <w:rPr>
                <w:rFonts w:cs="Times New Roman"/>
                <w:b/>
              </w:rPr>
              <w:t>ul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/>
              </w:rPr>
              <w:t xml:space="preserve">Boo </w:t>
            </w:r>
            <w:r>
              <w:rPr>
                <w:rFonts w:cs="Times New Roman"/>
              </w:rPr>
              <w:t>dem</w:t>
            </w:r>
            <w:r>
              <w:rPr>
                <w:rFonts w:cs="Times New Roman"/>
                <w:b/>
              </w:rPr>
              <w:t>ul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/>
              </w:rPr>
              <w:t xml:space="preserve">Bu </w:t>
            </w:r>
            <w:r>
              <w:rPr>
                <w:rFonts w:cs="Times New Roman"/>
              </w:rPr>
              <w:t>dem</w:t>
            </w:r>
            <w:r>
              <w:rPr>
                <w:rFonts w:cs="Times New Roman"/>
                <w:b/>
              </w:rPr>
              <w:t>ul</w:t>
            </w:r>
            <w:r>
              <w:rPr>
                <w:rFonts w:cs="Times New Roman"/>
              </w:rPr>
              <w:t xml:space="preserve">, etc. </w:t>
            </w:r>
          </w:p>
          <w:p w14:paraId="05F0D9F2" w14:textId="77777777" w:rsidR="0053720F" w:rsidRPr="00ED7BCD" w:rsidRDefault="0053720F" w:rsidP="0013029D">
            <w:pPr>
              <w:rPr>
                <w:rFonts w:cs="Times New Roman"/>
              </w:rPr>
            </w:pPr>
          </w:p>
        </w:tc>
      </w:tr>
      <w:tr w:rsidR="0053720F" w:rsidRPr="00ED7BCD" w14:paraId="3174A050" w14:textId="77777777" w:rsidTr="0013029D">
        <w:tc>
          <w:tcPr>
            <w:tcW w:w="1070" w:type="dxa"/>
          </w:tcPr>
          <w:p w14:paraId="22ED1DD8" w14:textId="77777777" w:rsidR="0053720F" w:rsidRPr="00ED7BCD" w:rsidRDefault="0053720F" w:rsidP="0013029D">
            <w:pPr>
              <w:rPr>
                <w:rFonts w:cs="Times New Roman"/>
              </w:rPr>
            </w:pPr>
          </w:p>
          <w:p w14:paraId="7D9EBD1C" w14:textId="77777777" w:rsidR="0053720F" w:rsidRPr="00ED7BCD" w:rsidRDefault="0053720F" w:rsidP="0013029D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Alxemes</w:t>
            </w:r>
          </w:p>
          <w:p w14:paraId="4DC9CC9D" w14:textId="77777777" w:rsidR="0053720F" w:rsidRPr="00ED7BCD" w:rsidRDefault="0013029D" w:rsidP="001302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2/5</w:t>
            </w:r>
          </w:p>
        </w:tc>
        <w:tc>
          <w:tcPr>
            <w:tcW w:w="6042" w:type="dxa"/>
          </w:tcPr>
          <w:p w14:paraId="51BB7D2C" w14:textId="77777777" w:rsidR="0053720F" w:rsidRPr="00ED7BCD" w:rsidRDefault="009A754B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>Prepare for Test 1:</w:t>
            </w:r>
          </w:p>
        </w:tc>
        <w:tc>
          <w:tcPr>
            <w:tcW w:w="6316" w:type="dxa"/>
          </w:tcPr>
          <w:p w14:paraId="20BDEE88" w14:textId="77777777" w:rsidR="0053720F" w:rsidRPr="00ED7BCD" w:rsidRDefault="008F04C2" w:rsidP="008F04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To study for the test: Sibbiru (màndarga yi, paj mi, fagaru gi), Baat yu bees ci ayubés 2, NOT YET expressions, Direct and indirect object pronouns. </w:t>
            </w:r>
          </w:p>
        </w:tc>
      </w:tr>
      <w:tr w:rsidR="0053720F" w:rsidRPr="00ED7BCD" w14:paraId="1A0D4ACF" w14:textId="77777777" w:rsidTr="0013029D">
        <w:tc>
          <w:tcPr>
            <w:tcW w:w="1070" w:type="dxa"/>
          </w:tcPr>
          <w:p w14:paraId="6236ECC9" w14:textId="77777777" w:rsidR="0053720F" w:rsidRPr="00ED7BCD" w:rsidRDefault="0053720F" w:rsidP="0013029D">
            <w:pPr>
              <w:rPr>
                <w:rFonts w:cs="Times New Roman"/>
              </w:rPr>
            </w:pPr>
          </w:p>
          <w:p w14:paraId="7026BF0C" w14:textId="77777777" w:rsidR="0053720F" w:rsidRPr="00ED7BCD" w:rsidRDefault="0053720F" w:rsidP="0013029D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Àjjuma</w:t>
            </w:r>
          </w:p>
          <w:p w14:paraId="197C1C02" w14:textId="77777777" w:rsidR="0053720F" w:rsidRPr="00ED7BCD" w:rsidRDefault="0013029D" w:rsidP="001302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2/6</w:t>
            </w:r>
          </w:p>
        </w:tc>
        <w:tc>
          <w:tcPr>
            <w:tcW w:w="6042" w:type="dxa"/>
          </w:tcPr>
          <w:p w14:paraId="0A7870FE" w14:textId="77777777" w:rsidR="006A3E63" w:rsidRDefault="0053720F" w:rsidP="008F04C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8F04C2">
              <w:rPr>
                <w:rFonts w:cs="Times New Roman"/>
              </w:rPr>
              <w:t xml:space="preserve">Submit your response to Podcast 1: </w:t>
            </w:r>
          </w:p>
          <w:p w14:paraId="3B6180AD" w14:textId="458BFA12" w:rsidR="006A3E63" w:rsidRDefault="006A3E63" w:rsidP="008F04C2">
            <w:pPr>
              <w:rPr>
                <w:rFonts w:cs="Times New Roman"/>
              </w:rPr>
            </w:pPr>
            <w:hyperlink r:id="rId8" w:history="1">
              <w:r w:rsidRPr="00315D39">
                <w:rPr>
                  <w:rStyle w:val="Hyperlink"/>
                  <w:rFonts w:cs="Times New Roman"/>
                </w:rPr>
                <w:t>http://clear.msu.edu/mashups/28646</w:t>
              </w:r>
            </w:hyperlink>
            <w:r>
              <w:rPr>
                <w:rFonts w:cs="Times New Roman"/>
              </w:rPr>
              <w:t xml:space="preserve"> </w:t>
            </w:r>
          </w:p>
          <w:p w14:paraId="494B3AE3" w14:textId="26056AE5" w:rsidR="008F04C2" w:rsidRDefault="008F04C2" w:rsidP="008F04C2">
            <w:pPr>
              <w:rPr>
                <w:rFonts w:cs="Times New Roman"/>
              </w:rPr>
            </w:pPr>
            <w:r>
              <w:rPr>
                <w:rFonts w:cs="Times New Roman"/>
              </w:rPr>
              <w:t>Go to online activities under Week 3</w:t>
            </w:r>
            <w:r w:rsidR="006A3E63">
              <w:rPr>
                <w:rFonts w:cs="Times New Roman"/>
              </w:rPr>
              <w:t xml:space="preserve"> to directly access the link. </w:t>
            </w:r>
            <w:bookmarkStart w:id="0" w:name="_GoBack"/>
            <w:bookmarkEnd w:id="0"/>
          </w:p>
          <w:p w14:paraId="1AED5513" w14:textId="77777777" w:rsidR="0053720F" w:rsidRDefault="008F04C2" w:rsidP="008F04C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53720F">
              <w:rPr>
                <w:rFonts w:cs="Times New Roman"/>
              </w:rPr>
              <w:t xml:space="preserve"> </w:t>
            </w:r>
            <w:r w:rsidR="0009505B">
              <w:rPr>
                <w:rFonts w:cs="Times New Roman"/>
              </w:rPr>
              <w:t xml:space="preserve">Watch the TED talk: Three reasons we still haven’t gotten rid of malaria. </w:t>
            </w:r>
          </w:p>
          <w:p w14:paraId="18285DEE" w14:textId="77777777" w:rsidR="0009505B" w:rsidRDefault="0009505B" w:rsidP="008F04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Link: </w:t>
            </w:r>
            <w:hyperlink r:id="rId9" w:history="1">
              <w:r w:rsidRPr="00315D39">
                <w:rPr>
                  <w:rStyle w:val="Hyperlink"/>
                  <w:rFonts w:cs="Times New Roman"/>
                </w:rPr>
                <w:t>https://www.youtube.com/watch?v=SF242mxtZN8</w:t>
              </w:r>
            </w:hyperlink>
            <w:r>
              <w:rPr>
                <w:rFonts w:cs="Times New Roman"/>
              </w:rPr>
              <w:t xml:space="preserve"> </w:t>
            </w:r>
          </w:p>
          <w:p w14:paraId="661EFF36" w14:textId="1631C8D6" w:rsidR="0009505B" w:rsidRPr="00ED7BCD" w:rsidRDefault="0009505B" w:rsidP="0009505B">
            <w:pPr>
              <w:rPr>
                <w:rFonts w:cs="Times New Roman"/>
              </w:rPr>
            </w:pPr>
            <w:r>
              <w:rPr>
                <w:rFonts w:cs="Times New Roman"/>
              </w:rPr>
              <w:t>NB: Also available under Schedule of Ayubés 3</w:t>
            </w:r>
          </w:p>
        </w:tc>
        <w:tc>
          <w:tcPr>
            <w:tcW w:w="6316" w:type="dxa"/>
          </w:tcPr>
          <w:p w14:paraId="4E31B845" w14:textId="77777777" w:rsidR="0053720F" w:rsidRDefault="0053720F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*Déglu ak waxtaan </w:t>
            </w:r>
          </w:p>
          <w:p w14:paraId="6477205B" w14:textId="77777777" w:rsidR="0053720F" w:rsidRDefault="0053720F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*Peer-feedback on video recordings </w:t>
            </w:r>
          </w:p>
          <w:p w14:paraId="49213579" w14:textId="1DC8DDB8" w:rsidR="0053720F" w:rsidRPr="00ED7BCD" w:rsidRDefault="0009505B" w:rsidP="001302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*Comments and reflections about the TED talk on malaria. </w:t>
            </w:r>
          </w:p>
        </w:tc>
      </w:tr>
    </w:tbl>
    <w:p w14:paraId="0AFBB79A" w14:textId="77777777" w:rsidR="0053720F" w:rsidRPr="00ED7BCD" w:rsidRDefault="0053720F" w:rsidP="0053720F">
      <w:pPr>
        <w:rPr>
          <w:rFonts w:ascii="Times New Roman" w:hAnsi="Times New Roman" w:cs="Times New Roman"/>
        </w:rPr>
      </w:pPr>
    </w:p>
    <w:p w14:paraId="75BF3E99" w14:textId="77777777" w:rsidR="0053720F" w:rsidRPr="006D50E2" w:rsidRDefault="0053720F" w:rsidP="0053720F">
      <w:r>
        <w:t xml:space="preserve">NB: Link to the website: </w:t>
      </w:r>
      <w:hyperlink r:id="rId10" w:history="1">
        <w:r w:rsidRPr="00F11A5D">
          <w:rPr>
            <w:rStyle w:val="Hyperlink"/>
          </w:rPr>
          <w:t>http://publish.illinois.edu/elemwolof202/</w:t>
        </w:r>
      </w:hyperlink>
      <w:r>
        <w:t xml:space="preserve"> </w:t>
      </w:r>
    </w:p>
    <w:p w14:paraId="44D16180" w14:textId="77777777" w:rsidR="0050423A" w:rsidRPr="00061E30" w:rsidRDefault="0050423A">
      <w:pPr>
        <w:rPr>
          <w:rFonts w:ascii="Times New Roman" w:hAnsi="Times New Roman" w:cs="Times New Roman"/>
        </w:rPr>
      </w:pPr>
    </w:p>
    <w:sectPr w:rsidR="0050423A" w:rsidRPr="00061E30" w:rsidSect="0013029D"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D449" w14:textId="77777777" w:rsidR="0009505B" w:rsidRDefault="0009505B" w:rsidP="0053720F">
      <w:r>
        <w:separator/>
      </w:r>
    </w:p>
  </w:endnote>
  <w:endnote w:type="continuationSeparator" w:id="0">
    <w:p w14:paraId="278082AF" w14:textId="77777777" w:rsidR="0009505B" w:rsidRDefault="0009505B" w:rsidP="0053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65753" w14:textId="77777777" w:rsidR="0009505B" w:rsidRDefault="0009505B" w:rsidP="0053720F">
      <w:r>
        <w:separator/>
      </w:r>
    </w:p>
  </w:footnote>
  <w:footnote w:type="continuationSeparator" w:id="0">
    <w:p w14:paraId="74EE7EF0" w14:textId="77777777" w:rsidR="0009505B" w:rsidRDefault="0009505B" w:rsidP="00537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87D3" w14:textId="77777777" w:rsidR="0009505B" w:rsidRDefault="0009505B" w:rsidP="0013029D">
    <w:pPr>
      <w:pStyle w:val="Header"/>
      <w:jc w:val="center"/>
      <w:rPr>
        <w:b/>
      </w:rPr>
    </w:pPr>
    <w:r>
      <w:rPr>
        <w:b/>
      </w:rPr>
      <w:t>Wolof 202, Spring 2015, UIUC</w:t>
    </w:r>
  </w:p>
  <w:p w14:paraId="235761A0" w14:textId="77777777" w:rsidR="0009505B" w:rsidRPr="00AD4262" w:rsidRDefault="0009505B" w:rsidP="0013029D">
    <w:pPr>
      <w:pStyle w:val="Header"/>
      <w:jc w:val="center"/>
      <w:rPr>
        <w:b/>
      </w:rPr>
    </w:pPr>
    <w:r>
      <w:rPr>
        <w:b/>
      </w:rPr>
      <w:t>Ayubés 3: Sibbiru ci Senegaal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0F"/>
    <w:rsid w:val="00061E30"/>
    <w:rsid w:val="0007422C"/>
    <w:rsid w:val="0009505B"/>
    <w:rsid w:val="000A47A8"/>
    <w:rsid w:val="000D01BE"/>
    <w:rsid w:val="0013029D"/>
    <w:rsid w:val="00182FAE"/>
    <w:rsid w:val="002F2F8A"/>
    <w:rsid w:val="0040708C"/>
    <w:rsid w:val="0050423A"/>
    <w:rsid w:val="0053720F"/>
    <w:rsid w:val="006A3E63"/>
    <w:rsid w:val="008F04C2"/>
    <w:rsid w:val="009A754B"/>
    <w:rsid w:val="00F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21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0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3720F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53720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720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7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0F"/>
  </w:style>
  <w:style w:type="paragraph" w:styleId="ListParagraph">
    <w:name w:val="List Paragraph"/>
    <w:basedOn w:val="Normal"/>
    <w:uiPriority w:val="34"/>
    <w:qFormat/>
    <w:rsid w:val="000A4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0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3720F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53720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720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7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0F"/>
  </w:style>
  <w:style w:type="paragraph" w:styleId="ListParagraph">
    <w:name w:val="List Paragraph"/>
    <w:basedOn w:val="Normal"/>
    <w:uiPriority w:val="34"/>
    <w:qFormat/>
    <w:rsid w:val="000A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lPou4sND9uw" TargetMode="External"/><Relationship Id="rId8" Type="http://schemas.openxmlformats.org/officeDocument/2006/relationships/hyperlink" Target="http://clear.msu.edu/mashups/28646" TargetMode="External"/><Relationship Id="rId9" Type="http://schemas.openxmlformats.org/officeDocument/2006/relationships/hyperlink" Target="https://www.youtube.com/watch?v=SF242mxtZN8" TargetMode="External"/><Relationship Id="rId10" Type="http://schemas.openxmlformats.org/officeDocument/2006/relationships/hyperlink" Target="http://publish.illinois.edu/elemwolof20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ortaalagey:Library:Application%20Support:Microsoft:Office:User%20Templates:My%20Templates:Te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Testing.dotx</Template>
  <TotalTime>38</TotalTime>
  <Pages>1</Pages>
  <Words>340</Words>
  <Characters>1938</Characters>
  <Application>Microsoft Macintosh Word</Application>
  <DocSecurity>0</DocSecurity>
  <Lines>16</Lines>
  <Paragraphs>4</Paragraphs>
  <ScaleCrop>false</ScaleCrop>
  <Company>UIUC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Gueye</dc:creator>
  <cp:keywords/>
  <dc:description/>
  <cp:lastModifiedBy>Mor Gueye</cp:lastModifiedBy>
  <cp:revision>14</cp:revision>
  <dcterms:created xsi:type="dcterms:W3CDTF">2015-02-01T15:22:00Z</dcterms:created>
  <dcterms:modified xsi:type="dcterms:W3CDTF">2015-02-01T17:52:00Z</dcterms:modified>
</cp:coreProperties>
</file>