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884A" w14:textId="77777777" w:rsidR="000B6EE5" w:rsidRPr="000A1759" w:rsidRDefault="000B6EE5" w:rsidP="000B6EE5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A1759">
        <w:rPr>
          <w:rFonts w:ascii="Arial" w:eastAsia="Times New Roman" w:hAnsi="Arial" w:cs="Arial"/>
          <w:color w:val="000000" w:themeColor="text1"/>
          <w:sz w:val="32"/>
          <w:szCs w:val="32"/>
          <w:shd w:val="clear" w:color="auto" w:fill="FFFAEB"/>
        </w:rPr>
        <w:t>The carbon impacts of land conversion to sugarcane and implications for the development of a sustainable bioenergy landscape in southeastern US</w:t>
      </w:r>
    </w:p>
    <w:p w14:paraId="2291635D" w14:textId="77777777" w:rsidR="000B6EE5" w:rsidRPr="000A1759" w:rsidRDefault="000B6EE5" w:rsidP="000B6EE5">
      <w:pPr>
        <w:pBdr>
          <w:top w:val="single" w:sz="2" w:space="3" w:color="DCDFE3"/>
          <w:left w:val="single" w:sz="2" w:space="0" w:color="DCDFE3"/>
          <w:bottom w:val="single" w:sz="6" w:space="3" w:color="DCDFE3"/>
          <w:right w:val="single" w:sz="2" w:space="0" w:color="DCDFE3"/>
        </w:pBdr>
        <w:spacing w:before="60" w:after="60"/>
        <w:outlineLvl w:val="4"/>
        <w:rPr>
          <w:rFonts w:ascii="Arial" w:eastAsia="Times New Roman" w:hAnsi="Arial" w:cs="Arial"/>
          <w:b/>
          <w:bCs/>
          <w:color w:val="000000"/>
        </w:rPr>
      </w:pPr>
      <w:r w:rsidRPr="000A1759">
        <w:rPr>
          <w:rFonts w:ascii="Arial" w:eastAsia="Times New Roman" w:hAnsi="Arial" w:cs="Arial"/>
          <w:b/>
          <w:bCs/>
          <w:color w:val="000000"/>
        </w:rPr>
        <w:t>Abstract</w:t>
      </w:r>
    </w:p>
    <w:p w14:paraId="3E9DB084" w14:textId="77777777" w:rsidR="000B6EE5" w:rsidRPr="000A1759" w:rsidRDefault="000B6EE5" w:rsidP="000B6EE5">
      <w:pPr>
        <w:rPr>
          <w:rFonts w:ascii="Arial" w:eastAsia="Times New Roman" w:hAnsi="Arial" w:cs="Arial"/>
          <w:color w:val="000000"/>
        </w:rPr>
      </w:pPr>
      <w:r w:rsidRPr="000A1759">
        <w:rPr>
          <w:rFonts w:ascii="Arial" w:eastAsia="Times New Roman" w:hAnsi="Arial" w:cs="Arial"/>
          <w:color w:val="000000"/>
        </w:rPr>
        <w:t>The Southeastern US (SE US) has the capacity to produce almost 1/3 of the 36 billion gallons target established by the Energy Independence and Security Act. The expansion of cane, a subtropical high yielding feedstock, will likely reshape the US bioenergy landscape. However, the sustainability of cane-based biofuel industry remains highly uncertain particularly as it may displace semi-native (SN) and improved (IP) pastures, which make up to 53% of agricultural land in SE US. We combined biometric, ground-based and eddy covariance methods to investigate the impact of cane expansion across subtropical Florida on the carbon (C) budget over a three-year rotation. With 1.9-fold and 7.1-fold increase in productivity over SN and IP pastures, sugarcane displayed a C use efficiency (CUE) of 0.55, well above that of pastures (0.21-0.29) and similar to that of </w:t>
      </w:r>
      <w:r w:rsidRPr="000A1759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 xml:space="preserve">Miscanthus x </w:t>
      </w:r>
      <w:proofErr w:type="spellStart"/>
      <w:r w:rsidRPr="000A1759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giganteus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 (0.58), a gold standard perennial for bioenergy production, while increasing C allocation to aboveground productivity and hence, harvestable biomass. Cane heterotrophic respiration over the 3-year rotation (825 </w:t>
      </w:r>
      <w:proofErr w:type="spellStart"/>
      <w:r w:rsidRPr="000A1759">
        <w:rPr>
          <w:rFonts w:ascii="Arial" w:eastAsia="Times New Roman" w:hAnsi="Arial" w:cs="Arial"/>
          <w:color w:val="000000"/>
        </w:rPr>
        <w:t>gC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m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-2</w:t>
      </w:r>
      <w:r w:rsidRPr="000A1759">
        <w:rPr>
          <w:rFonts w:ascii="Arial" w:eastAsia="Times New Roman" w:hAnsi="Arial" w:cs="Arial"/>
          <w:color w:val="000000"/>
        </w:rPr>
        <w:t> y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-1</w:t>
      </w:r>
      <w:r w:rsidRPr="000A1759">
        <w:rPr>
          <w:rFonts w:ascii="Arial" w:eastAsia="Times New Roman" w:hAnsi="Arial" w:cs="Arial"/>
          <w:color w:val="000000"/>
        </w:rPr>
        <w:t xml:space="preserve">) was 8% greater than SN but 13% lower than IP pastures. These C losses responded largely to disturbance over the first year after conversion (1282 </w:t>
      </w:r>
      <w:proofErr w:type="spellStart"/>
      <w:r w:rsidRPr="000A1759">
        <w:rPr>
          <w:rFonts w:ascii="Arial" w:eastAsia="Times New Roman" w:hAnsi="Arial" w:cs="Arial"/>
          <w:color w:val="000000"/>
        </w:rPr>
        <w:t>gC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m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-2</w:t>
      </w:r>
      <w:r w:rsidRPr="000A1759">
        <w:rPr>
          <w:rFonts w:ascii="Arial" w:eastAsia="Times New Roman" w:hAnsi="Arial" w:cs="Arial"/>
          <w:color w:val="000000"/>
        </w:rPr>
        <w:t> y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-1</w:t>
      </w:r>
      <w:r w:rsidRPr="000A1759">
        <w:rPr>
          <w:rFonts w:ascii="Arial" w:eastAsia="Times New Roman" w:hAnsi="Arial" w:cs="Arial"/>
          <w:color w:val="000000"/>
        </w:rPr>
        <w:t xml:space="preserve">) but were drastically reduced over subsequent years to an average 590 </w:t>
      </w:r>
      <w:proofErr w:type="spellStart"/>
      <w:r w:rsidRPr="000A1759">
        <w:rPr>
          <w:rFonts w:ascii="Arial" w:eastAsia="Times New Roman" w:hAnsi="Arial" w:cs="Arial"/>
          <w:color w:val="000000"/>
        </w:rPr>
        <w:t>gC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m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-2</w:t>
      </w:r>
      <w:r w:rsidRPr="000A1759">
        <w:rPr>
          <w:rFonts w:ascii="Arial" w:eastAsia="Times New Roman" w:hAnsi="Arial" w:cs="Arial"/>
          <w:color w:val="000000"/>
        </w:rPr>
        <w:t> y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-1</w:t>
      </w:r>
      <w:r w:rsidRPr="000A1759">
        <w:rPr>
          <w:rFonts w:ascii="Arial" w:eastAsia="Times New Roman" w:hAnsi="Arial" w:cs="Arial"/>
          <w:color w:val="000000"/>
        </w:rPr>
        <w:t xml:space="preserve">, well below that of SN (760 </w:t>
      </w:r>
      <w:proofErr w:type="spellStart"/>
      <w:r w:rsidRPr="000A1759">
        <w:rPr>
          <w:rFonts w:ascii="Arial" w:eastAsia="Times New Roman" w:hAnsi="Arial" w:cs="Arial"/>
          <w:color w:val="000000"/>
        </w:rPr>
        <w:t>gC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m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-2</w:t>
      </w:r>
      <w:r w:rsidRPr="000A1759">
        <w:rPr>
          <w:rFonts w:ascii="Arial" w:eastAsia="Times New Roman" w:hAnsi="Arial" w:cs="Arial"/>
          <w:color w:val="000000"/>
        </w:rPr>
        <w:t> y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-1</w:t>
      </w:r>
      <w:r w:rsidRPr="000A1759">
        <w:rPr>
          <w:rFonts w:ascii="Arial" w:eastAsia="Times New Roman" w:hAnsi="Arial" w:cs="Arial"/>
          <w:color w:val="000000"/>
        </w:rPr>
        <w:t xml:space="preserve">) and IP (933 </w:t>
      </w:r>
      <w:proofErr w:type="spellStart"/>
      <w:r w:rsidRPr="000A1759">
        <w:rPr>
          <w:rFonts w:ascii="Arial" w:eastAsia="Times New Roman" w:hAnsi="Arial" w:cs="Arial"/>
          <w:color w:val="000000"/>
        </w:rPr>
        <w:t>gC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m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-2</w:t>
      </w:r>
      <w:r w:rsidRPr="000A1759">
        <w:rPr>
          <w:rFonts w:ascii="Arial" w:eastAsia="Times New Roman" w:hAnsi="Arial" w:cs="Arial"/>
          <w:color w:val="000000"/>
        </w:rPr>
        <w:t> y</w:t>
      </w:r>
      <w:r w:rsidRPr="000A1759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</w:rPr>
        <w:t>-1</w:t>
      </w:r>
      <w:r w:rsidRPr="000A1759">
        <w:rPr>
          <w:rFonts w:ascii="Arial" w:eastAsia="Times New Roman" w:hAnsi="Arial" w:cs="Arial"/>
          <w:color w:val="000000"/>
        </w:rPr>
        <w:t xml:space="preserve">) pastures despite a significant 40-61% increase in soil C inputs. Belowground C inputs, however, experienced an important shift from root-dominated pastures to a litter-dominated system in cane with only 5% C allocation to roots. Reduced decomposition rates in sugarcane were likely driven by changes in the recalcitrance and distribution rather than the size of the newly incorporated soil C pool. As a result, we observed a rapid shift in the net ecosystem C balance (NECB) of canes from a large source immediately following conversion to approaching net C losses of IP pastures only two years after conversion. Our results show a significant toll of changes in land use, but also suggest that the negative NECB of canes does not necessarily respond to inherent </w:t>
      </w:r>
      <w:proofErr w:type="spellStart"/>
      <w:r w:rsidRPr="000A1759">
        <w:rPr>
          <w:rFonts w:ascii="Arial" w:eastAsia="Times New Roman" w:hAnsi="Arial" w:cs="Arial"/>
          <w:color w:val="000000"/>
        </w:rPr>
        <w:t>ecophysiological</w:t>
      </w:r>
      <w:proofErr w:type="spellEnd"/>
      <w:r w:rsidRPr="000A1759">
        <w:rPr>
          <w:rFonts w:ascii="Arial" w:eastAsia="Times New Roman" w:hAnsi="Arial" w:cs="Arial"/>
          <w:color w:val="000000"/>
        </w:rPr>
        <w:t xml:space="preserve"> limitations and indicate that management strategies targeting the C storage potential of canes could be critical to the development of a sustainable bioenergy landscape in SE US.</w:t>
      </w:r>
    </w:p>
    <w:p w14:paraId="4289879A" w14:textId="77777777" w:rsidR="000B6EE5" w:rsidRPr="000A1759" w:rsidRDefault="000B6EE5">
      <w:pPr>
        <w:rPr>
          <w:rFonts w:ascii="Arial" w:hAnsi="Arial" w:cs="Arial"/>
        </w:rPr>
      </w:pPr>
    </w:p>
    <w:p w14:paraId="3123FC02" w14:textId="22A80C8C" w:rsidR="00AD78A3" w:rsidRDefault="000B6EE5">
      <w:pPr>
        <w:rPr>
          <w:rFonts w:ascii="Arial" w:hAnsi="Arial" w:cs="Arial"/>
        </w:rPr>
      </w:pPr>
      <w:r w:rsidRPr="000A1759">
        <w:rPr>
          <w:rFonts w:ascii="Arial" w:hAnsi="Arial" w:cs="Arial"/>
        </w:rPr>
        <w:t>AGU 2024</w:t>
      </w:r>
    </w:p>
    <w:p w14:paraId="23F62E01" w14:textId="77777777" w:rsidR="000A1759" w:rsidRPr="000A1759" w:rsidRDefault="000A1759">
      <w:pPr>
        <w:rPr>
          <w:rFonts w:ascii="Arial" w:hAnsi="Arial" w:cs="Arial"/>
        </w:rPr>
      </w:pPr>
      <w:bookmarkStart w:id="0" w:name="_GoBack"/>
      <w:bookmarkEnd w:id="0"/>
    </w:p>
    <w:p w14:paraId="4C87A321" w14:textId="77777777" w:rsidR="000B6EE5" w:rsidRPr="000A1759" w:rsidRDefault="000B6EE5">
      <w:pPr>
        <w:rPr>
          <w:rFonts w:ascii="Arial" w:hAnsi="Arial" w:cs="Arial"/>
        </w:rPr>
      </w:pPr>
      <w:r w:rsidRPr="000A1759">
        <w:rPr>
          <w:rFonts w:ascii="Arial" w:hAnsi="Arial" w:cs="Arial"/>
        </w:rPr>
        <w:t>Elena Blank-</w:t>
      </w:r>
      <w:proofErr w:type="spellStart"/>
      <w:r w:rsidRPr="000A1759">
        <w:rPr>
          <w:rFonts w:ascii="Arial" w:hAnsi="Arial" w:cs="Arial"/>
        </w:rPr>
        <w:t>Betes</w:t>
      </w:r>
      <w:proofErr w:type="spellEnd"/>
      <w:r w:rsidRPr="000A1759">
        <w:rPr>
          <w:rFonts w:ascii="Arial" w:hAnsi="Arial" w:cs="Arial"/>
        </w:rPr>
        <w:t xml:space="preserve">, Nuria Gomez-Casanovas, Caitlin Moore, Elizabeth </w:t>
      </w:r>
      <w:proofErr w:type="spellStart"/>
      <w:r w:rsidRPr="000A1759">
        <w:rPr>
          <w:rFonts w:ascii="Arial" w:hAnsi="Arial" w:cs="Arial"/>
        </w:rPr>
        <w:t>Boughton</w:t>
      </w:r>
      <w:proofErr w:type="spellEnd"/>
      <w:r w:rsidRPr="000A1759">
        <w:rPr>
          <w:rFonts w:ascii="Arial" w:hAnsi="Arial" w:cs="Arial"/>
        </w:rPr>
        <w:t xml:space="preserve">, Carl </w:t>
      </w:r>
      <w:proofErr w:type="spellStart"/>
      <w:r w:rsidRPr="000A1759">
        <w:rPr>
          <w:rFonts w:ascii="Arial" w:hAnsi="Arial" w:cs="Arial"/>
        </w:rPr>
        <w:t>Bernacchi</w:t>
      </w:r>
      <w:proofErr w:type="spellEnd"/>
      <w:r w:rsidRPr="000A1759">
        <w:rPr>
          <w:rFonts w:ascii="Arial" w:hAnsi="Arial" w:cs="Arial"/>
        </w:rPr>
        <w:t xml:space="preserve">, Wendy Yang, Evan </w:t>
      </w:r>
      <w:proofErr w:type="spellStart"/>
      <w:r w:rsidRPr="000A1759">
        <w:rPr>
          <w:rFonts w:ascii="Arial" w:hAnsi="Arial" w:cs="Arial"/>
        </w:rPr>
        <w:t>DeLucia</w:t>
      </w:r>
      <w:proofErr w:type="spellEnd"/>
    </w:p>
    <w:p w14:paraId="0A8A10FE" w14:textId="77777777" w:rsidR="000B6EE5" w:rsidRPr="000A1759" w:rsidRDefault="000B6EE5">
      <w:pPr>
        <w:rPr>
          <w:rFonts w:ascii="Arial" w:hAnsi="Arial" w:cs="Arial"/>
        </w:rPr>
      </w:pPr>
    </w:p>
    <w:p w14:paraId="6DBA983E" w14:textId="77777777" w:rsidR="000B6EE5" w:rsidRDefault="000B6EE5"/>
    <w:sectPr w:rsidR="000B6EE5" w:rsidSect="0060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E5"/>
    <w:rsid w:val="000A1759"/>
    <w:rsid w:val="000B6EE5"/>
    <w:rsid w:val="0025166A"/>
    <w:rsid w:val="00601E35"/>
    <w:rsid w:val="00614365"/>
    <w:rsid w:val="006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82037"/>
  <w14:defaultImageDpi w14:val="32767"/>
  <w15:chartTrackingRefBased/>
  <w15:docId w15:val="{7434CFC0-9A4C-224F-885C-B26F05F5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B6EE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B6E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B6EE5"/>
  </w:style>
  <w:style w:type="character" w:styleId="Emphasis">
    <w:name w:val="Emphasis"/>
    <w:basedOn w:val="DefaultParagraphFont"/>
    <w:uiPriority w:val="20"/>
    <w:qFormat/>
    <w:rsid w:val="000B6E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Delucia, Evan H</dc:creator>
  <cp:keywords/>
  <dc:description/>
  <cp:lastModifiedBy>Delucia, Evan H</cp:lastModifiedBy>
  <cp:revision>2</cp:revision>
  <dcterms:created xsi:type="dcterms:W3CDTF">2024-11-21T17:24:00Z</dcterms:created>
  <dcterms:modified xsi:type="dcterms:W3CDTF">2024-11-21T17:59:00Z</dcterms:modified>
</cp:coreProperties>
</file>